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44B8"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rPr>
      </w:pPr>
      <w:r>
        <w:rPr>
          <w:b/>
          <w:bCs/>
          <w:color w:val="000000"/>
        </w:rPr>
        <w:t>A., L. B. C/ C., L. N. S/INCIDENTE DE ALIMENTOS</w:t>
      </w:r>
    </w:p>
    <w:p w14:paraId="6D8D5129"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proofErr w:type="spellStart"/>
      <w:r>
        <w:rPr>
          <w:b/>
          <w:bCs/>
        </w:rPr>
        <w:t>Expte</w:t>
      </w:r>
      <w:proofErr w:type="spellEnd"/>
      <w:r>
        <w:rPr>
          <w:b/>
          <w:bCs/>
        </w:rPr>
        <w:t xml:space="preserve">. </w:t>
      </w:r>
      <w:proofErr w:type="spellStart"/>
      <w:r>
        <w:rPr>
          <w:b/>
          <w:bCs/>
        </w:rPr>
        <w:t>n</w:t>
      </w:r>
      <w:r>
        <w:rPr>
          <w:rFonts w:eastAsia="Times New Roman"/>
          <w:b/>
          <w:bCs/>
        </w:rPr>
        <w:t>°</w:t>
      </w:r>
      <w:proofErr w:type="spellEnd"/>
      <w:r>
        <w:rPr>
          <w:rFonts w:eastAsia="Times New Roman"/>
          <w:b/>
          <w:bCs/>
        </w:rPr>
        <w:t xml:space="preserve"> </w:t>
      </w:r>
      <w:r>
        <w:rPr>
          <w:b/>
          <w:bCs/>
          <w:color w:val="000000"/>
        </w:rPr>
        <w:t>15755-23</w:t>
      </w:r>
    </w:p>
    <w:p w14:paraId="616F77B8"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pPr>
    </w:p>
    <w:p w14:paraId="0C50C85B"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b/>
          <w:bCs/>
        </w:rPr>
      </w:pPr>
      <w:r>
        <w:t>Daireaux, en la fecha en que se suscribe la presente resoluci</w:t>
      </w:r>
      <w:r>
        <w:rPr>
          <w:rFonts w:eastAsia="Times New Roman"/>
        </w:rPr>
        <w:t>ón</w:t>
      </w:r>
    </w:p>
    <w:p w14:paraId="1222FDDD"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b/>
          <w:bCs/>
        </w:rPr>
      </w:pPr>
      <w:r>
        <w:rPr>
          <w:b/>
          <w:bCs/>
        </w:rPr>
        <w:tab/>
      </w:r>
      <w:r>
        <w:rPr>
          <w:b/>
          <w:bCs/>
          <w:u w:val="single"/>
        </w:rPr>
        <w:t>Proveyendo la presentaci</w:t>
      </w:r>
      <w:r>
        <w:rPr>
          <w:rFonts w:eastAsia="Times New Roman"/>
          <w:b/>
          <w:bCs/>
          <w:u w:val="single"/>
        </w:rPr>
        <w:t>ón electrónica de fecha 15/9/2023 (</w:t>
      </w:r>
      <w:r>
        <w:rPr>
          <w:b/>
          <w:bCs/>
          <w:color w:val="000000"/>
          <w:u w:val="single"/>
        </w:rPr>
        <w:t>C. M.</w:t>
      </w:r>
      <w:r>
        <w:rPr>
          <w:b/>
          <w:bCs/>
          <w:u w:val="single"/>
        </w:rPr>
        <w:t>)</w:t>
      </w:r>
      <w:r>
        <w:rPr>
          <w:b/>
          <w:bCs/>
        </w:rPr>
        <w:t>:</w:t>
      </w:r>
    </w:p>
    <w:p w14:paraId="6371C09A"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tab/>
        <w:t>1.- No habi</w:t>
      </w:r>
      <w:r>
        <w:rPr>
          <w:rFonts w:eastAsia="Times New Roman"/>
        </w:rPr>
        <w:t>éndose formulado objeciones a la liquidación practicada con fecha 28/08/2023, se aprueba la misma en cuanto ha lugar por derecho en la suma de $ 90.524,97 (arts. 501 y 502 del C.P.C.C.</w:t>
      </w:r>
      <w:proofErr w:type="gramStart"/>
      <w:r>
        <w:rPr>
          <w:rFonts w:eastAsia="Times New Roman"/>
        </w:rPr>
        <w:t>).-</w:t>
      </w:r>
      <w:proofErr w:type="gramEnd"/>
    </w:p>
    <w:p w14:paraId="1DF6D26D"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color w:val="000000"/>
        </w:rPr>
      </w:pPr>
      <w:r>
        <w:rPr>
          <w:b/>
          <w:bCs/>
        </w:rPr>
        <w:tab/>
      </w:r>
      <w:r>
        <w:rPr>
          <w:color w:val="000000"/>
        </w:rPr>
        <w:t>Atento lo peticionado, el estado de las presentes actuaciones, la falta de cumplimiento de la cuota de alimentos y lo dispuesto en los Art. 553, 706, 709 y concordantes del CCyC, corresponde adoptar las medidas tendientes a garantizar la percepci</w:t>
      </w:r>
      <w:r>
        <w:rPr>
          <w:rFonts w:eastAsia="Times New Roman"/>
          <w:color w:val="000000"/>
        </w:rPr>
        <w:t xml:space="preserve">ón de </w:t>
      </w:r>
      <w:proofErr w:type="gramStart"/>
      <w:r>
        <w:rPr>
          <w:rFonts w:eastAsia="Times New Roman"/>
          <w:color w:val="000000"/>
        </w:rPr>
        <w:t>la misma</w:t>
      </w:r>
      <w:proofErr w:type="gramEnd"/>
      <w:r>
        <w:rPr>
          <w:rFonts w:eastAsia="Times New Roman"/>
          <w:color w:val="000000"/>
        </w:rPr>
        <w:t>.</w:t>
      </w:r>
    </w:p>
    <w:p w14:paraId="20F36A74"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color w:val="000000"/>
        </w:rPr>
      </w:pPr>
      <w:r>
        <w:rPr>
          <w:rFonts w:eastAsia="Times New Roman"/>
          <w:color w:val="000000"/>
        </w:rPr>
        <w:tab/>
        <w:t xml:space="preserve">Ello en el entendimiento que dichos incumplimientos derivan en la existencia de violencia económica a la luz de lo dispuesto por </w:t>
      </w:r>
      <w:r>
        <w:t>Ley 26485 , que define a la violencia econ</w:t>
      </w:r>
      <w:r>
        <w:rPr>
          <w:rFonts w:eastAsia="Times New Roman"/>
        </w:rPr>
        <w:t>ómica y patrimonial como la que se dirige a perjudicar los recursos económicos o patrimoniales de la mujer a través de distintas vías, entre ellas la limitación de los recursos económicos destinados a satisfacer sus necesidades o privación de los medios indispensables para vivir una vida digna o la limitación o control de sus ingresos. (Art. 5 inc. 4 ap. C) Ley 26.485), siendo un modo de ejercicio de violencia económica la no satisfacción de las necesidades económicas de los hijos que conviven con la madre.</w:t>
      </w:r>
    </w:p>
    <w:p w14:paraId="3547A93A"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tab/>
        <w:t xml:space="preserve">Siguiendo a la doctrina especializada en la materia se ha dicho </w:t>
      </w:r>
      <w:proofErr w:type="gramStart"/>
      <w:r>
        <w:t>que</w:t>
      </w:r>
      <w:proofErr w:type="gramEnd"/>
      <w:r>
        <w:t xml:space="preserve"> en materia de violencia de g</w:t>
      </w:r>
      <w:r>
        <w:rPr>
          <w:rFonts w:eastAsia="Times New Roman"/>
        </w:rPr>
        <w:t xml:space="preserve">énero, tal vez la forma más reiterada y frecuente es la violencia económica en sus innumerables facetas, poniendo de resalto y a título ejemplificativo: administrar todo el dinero el varón y darle a la mujer lo que necesita. (“La compensación económica ante la finalización del proyecto de vida en común. Superación de la desigualdad estructural originada en estereotipos de género”. </w:t>
      </w:r>
      <w:proofErr w:type="spellStart"/>
      <w:r>
        <w:rPr>
          <w:rFonts w:eastAsia="Times New Roman"/>
        </w:rPr>
        <w:t>Chechile</w:t>
      </w:r>
      <w:proofErr w:type="spellEnd"/>
      <w:r>
        <w:rPr>
          <w:rFonts w:eastAsia="Times New Roman"/>
        </w:rPr>
        <w:t>, Ana María – López, Cecilia. La Ley 27/09/2021. AR/DOC/2745/2021).</w:t>
      </w:r>
    </w:p>
    <w:p w14:paraId="1933DBAE"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rPr>
        <w:tab/>
        <w:t xml:space="preserve">El manejo autoritario del dinero y el control de los recursos por parte del varón pueden estar tan naturalizado que pocas veces se percibe como una forma de </w:t>
      </w:r>
      <w:proofErr w:type="spellStart"/>
      <w:r>
        <w:rPr>
          <w:rFonts w:eastAsia="Times New Roman"/>
        </w:rPr>
        <w:t>disciplinamiento</w:t>
      </w:r>
      <w:proofErr w:type="spellEnd"/>
      <w:r>
        <w:rPr>
          <w:rFonts w:eastAsia="Times New Roman"/>
        </w:rPr>
        <w:t xml:space="preserve"> o maltrato (…) el problema no es meramente anecdótico, sino básicamente estructural, y que por un abordaje integral de la violencia de género </w:t>
      </w:r>
      <w:r>
        <w:rPr>
          <w:rFonts w:eastAsia="Times New Roman"/>
        </w:rPr>
        <w:lastRenderedPageBreak/>
        <w:t xml:space="preserve">conduce necesariamente a reconocer el papel relevante que la privación de los recursos económicos tiene como factor de consolidación del ciclo del maltrato. (Molina de Juan, Mariel, El impago de alimentos como forma de violencia económica” en Género y Derecho Actual, </w:t>
      </w:r>
      <w:proofErr w:type="gramStart"/>
      <w:r>
        <w:rPr>
          <w:rFonts w:eastAsia="Times New Roman"/>
        </w:rPr>
        <w:t>Abril</w:t>
      </w:r>
      <w:proofErr w:type="gramEnd"/>
      <w:r>
        <w:rPr>
          <w:rFonts w:eastAsia="Times New Roman"/>
        </w:rPr>
        <w:t xml:space="preserve"> 2021, 1° Ed, p. 46.)</w:t>
      </w:r>
    </w:p>
    <w:p w14:paraId="757F723B"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rPr>
        <w:tab/>
        <w:t>Entran en juego asimismo las previsiones contenidas en la Convención de los Derechos del Niño, en sus arts. 4, 12 y 27, donde se establecen las siguientes reglas específicas que deben aplicarse a los casos particulares: a) el Interés Superior del Niño tendrá consideración primordial en todas las decisiones concernientes a los niños; b) todo niño tiene derecho a un nivel de vida adecuado para su desarrollo físico, mental, espiritual, moral y social; c) los padres u otras personas encargadas del niño tienen la responsabilidad primordial de proporcionar, dentro de sus posibilidades y medios económicos, las condiciones de vida necesarias para el desarrollo del niño; d) Los Estados partes deben tomar todas las medidas apropiadas, incluyendo la celebración de acuerdos internacionales, para asegurar el pago de los alimentos por parte de los padres u otras personas responsables; y e) se garantiza al niño el derecho de expresar su opinión libremente en todos los asuntos que lo afecten.</w:t>
      </w:r>
    </w:p>
    <w:p w14:paraId="354E4156"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rPr>
        <w:tab/>
      </w:r>
      <w:proofErr w:type="gramStart"/>
      <w:r>
        <w:rPr>
          <w:rFonts w:eastAsia="Times New Roman"/>
        </w:rPr>
        <w:t>En relación a</w:t>
      </w:r>
      <w:proofErr w:type="gramEnd"/>
      <w:r>
        <w:rPr>
          <w:rFonts w:eastAsia="Times New Roman"/>
        </w:rPr>
        <w:t xml:space="preserve"> ello, existe un derecho constitucional a la tutela judicial efectiva y a una sentencia que se cumpla. Dice Aida Kemelmajer de Carlucci, en su artículo “Derecho Procesal de Familia. Principios Procesales”: “El art. 8.1 de la Convención Interamericana de Derechos Humanos, incorporada a la Constitución Nacional (art. 75 inc. 22) dispone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carácter”….Está claro pues que, para los intérpretes supremos de los documentos básicos en materia de derechos humanos, el derecho a la tutela efectiva comprende no solo el derecho a ser oído, a rendir prueba, a que se dicte una sentencia dentro de un plazo razonable por parte de un juez independiente, sino a que esa sentencia se cumpla, pues de otro modo, esa tutela no es efectiva.</w:t>
      </w:r>
    </w:p>
    <w:p w14:paraId="162D5C7B"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pPr>
      <w:r>
        <w:rPr>
          <w:rFonts w:eastAsia="Times New Roman"/>
        </w:rPr>
        <w:tab/>
        <w:t xml:space="preserve">En ese orden de ideas, más allá de la vulnerabilidad que presenta toda persona por el solo hecho de constituirse en víctima de un hecho de violencia -constituya o no </w:t>
      </w:r>
      <w:r>
        <w:rPr>
          <w:rFonts w:eastAsia="Times New Roman"/>
        </w:rPr>
        <w:lastRenderedPageBreak/>
        <w:t xml:space="preserve">delito, perpetrado en el marco de las relaciones de familias-, algunas de ellas se encuentran atravesadas por múltiples e interrelacionados factores de vulnerabilidad que las hace destinatarias de una tutela reforzada y preferencial, no solo </w:t>
      </w:r>
      <w:proofErr w:type="gramStart"/>
      <w:r>
        <w:rPr>
          <w:rFonts w:eastAsia="Times New Roman"/>
        </w:rPr>
        <w:t>en razón de</w:t>
      </w:r>
      <w:proofErr w:type="gramEnd"/>
      <w:r>
        <w:rPr>
          <w:rFonts w:eastAsia="Times New Roman"/>
        </w:rPr>
        <w:t xml:space="preserve"> lo previsto por los artículos 14 bis, 16, 75 </w:t>
      </w:r>
      <w:proofErr w:type="spellStart"/>
      <w:r>
        <w:rPr>
          <w:rFonts w:eastAsia="Times New Roman"/>
        </w:rPr>
        <w:t>incs</w:t>
      </w:r>
      <w:proofErr w:type="spellEnd"/>
      <w:r>
        <w:rPr>
          <w:rFonts w:eastAsia="Times New Roman"/>
        </w:rPr>
        <w:t>. 22 y 23 de la Constitución Nacional, sino por los demás instrumentos de protección de derechos humanos (</w:t>
      </w:r>
      <w:r>
        <w:rPr>
          <w:color w:val="000000"/>
        </w:rPr>
        <w:t xml:space="preserve">Respecto de este punto ver al respecto Saba, Roberto </w:t>
      </w:r>
      <w:r>
        <w:rPr>
          <w:rFonts w:eastAsia="Times New Roman"/>
          <w:i/>
          <w:iCs/>
          <w:color w:val="000000"/>
        </w:rPr>
        <w:t>“(des)igualdad estructural”</w:t>
      </w:r>
      <w:r>
        <w:rPr>
          <w:color w:val="000000"/>
        </w:rPr>
        <w:t xml:space="preserve">, en Marcelo Alegre y Roberto </w:t>
      </w:r>
      <w:proofErr w:type="spellStart"/>
      <w:r>
        <w:rPr>
          <w:color w:val="000000"/>
        </w:rPr>
        <w:t>Gargarella</w:t>
      </w:r>
      <w:proofErr w:type="spellEnd"/>
      <w:r>
        <w:rPr>
          <w:color w:val="000000"/>
        </w:rPr>
        <w:t xml:space="preserve"> (</w:t>
      </w:r>
      <w:proofErr w:type="spellStart"/>
      <w:r>
        <w:rPr>
          <w:color w:val="000000"/>
        </w:rPr>
        <w:t>coords</w:t>
      </w:r>
      <w:proofErr w:type="spellEnd"/>
      <w:r>
        <w:rPr>
          <w:color w:val="000000"/>
        </w:rPr>
        <w:t xml:space="preserve">) </w:t>
      </w:r>
      <w:r>
        <w:rPr>
          <w:rFonts w:eastAsia="Times New Roman"/>
          <w:i/>
          <w:iCs/>
          <w:color w:val="000000"/>
        </w:rPr>
        <w:t>“</w:t>
      </w:r>
      <w:proofErr w:type="gramStart"/>
      <w:r>
        <w:rPr>
          <w:rFonts w:eastAsia="Times New Roman"/>
          <w:i/>
          <w:iCs/>
          <w:color w:val="000000"/>
        </w:rPr>
        <w:t>El derechos</w:t>
      </w:r>
      <w:proofErr w:type="gramEnd"/>
      <w:r>
        <w:rPr>
          <w:rFonts w:eastAsia="Times New Roman"/>
          <w:i/>
          <w:iCs/>
          <w:color w:val="000000"/>
        </w:rPr>
        <w:t xml:space="preserve"> a la Igualdad. Aportes para un constitucionalismo igualitario”</w:t>
      </w:r>
      <w:r>
        <w:rPr>
          <w:color w:val="000000"/>
        </w:rPr>
        <w:t xml:space="preserve">, Lexis </w:t>
      </w:r>
      <w:proofErr w:type="spellStart"/>
      <w:r>
        <w:rPr>
          <w:color w:val="000000"/>
        </w:rPr>
        <w:t>Nexis</w:t>
      </w:r>
      <w:proofErr w:type="spellEnd"/>
      <w:r>
        <w:rPr>
          <w:color w:val="000000"/>
        </w:rPr>
        <w:t>, Buenos Aires, 2017. All</w:t>
      </w:r>
      <w:r>
        <w:rPr>
          <w:rFonts w:eastAsia="Times New Roman"/>
          <w:color w:val="000000"/>
        </w:rPr>
        <w:t>í el autor expresa que el art. 75, inc. 23 de la Constitución Nacional parte de una visión estructural de la igualdad, distinta al art. 16 de la misma que apunta a una igualdad “individualista”.)</w:t>
      </w:r>
    </w:p>
    <w:p w14:paraId="6541A529"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tab/>
        <w:t>Frente a la existencia de situaciones de violencia - en este caso econ</w:t>
      </w:r>
      <w:r>
        <w:rPr>
          <w:rFonts w:eastAsia="Times New Roman"/>
        </w:rPr>
        <w:t>ómica - existe un mandato expreso de protección impuesto al Estado por todos los instrumentos legales que establecen obligaciones frente a las víctimas de este tipo de violencia, que requieren de un especial cuidado y efectiva protección (Ley 26.485, CADH; CEDAW; Convención de Belém do Pará, Ley 12.569).</w:t>
      </w:r>
    </w:p>
    <w:p w14:paraId="226A04DE"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pPr>
      <w:r>
        <w:rPr>
          <w:rFonts w:eastAsia="Times New Roman"/>
        </w:rPr>
        <w:tab/>
        <w:t>La ley 24.632, Convención Belém do Pará, tiene como objetivos centrales: prevenir, sancionar, reparar y</w:t>
      </w:r>
      <w:r>
        <w:rPr>
          <w:u w:val="single"/>
        </w:rPr>
        <w:t xml:space="preserve"> garantizar la no repetici</w:t>
      </w:r>
      <w:r>
        <w:rPr>
          <w:rFonts w:eastAsia="Times New Roman"/>
          <w:u w:val="single"/>
        </w:rPr>
        <w:t xml:space="preserve">ón. </w:t>
      </w:r>
    </w:p>
    <w:p w14:paraId="58496C7F"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tab/>
        <w:t>Sancionar, reparar y garantizar la no repetici</w:t>
      </w:r>
      <w:r>
        <w:rPr>
          <w:rFonts w:eastAsia="Times New Roman"/>
        </w:rPr>
        <w:t>ón son sin dudas obligaciones inherentes al poder judicial. En cuanto al objetivo de prevenir, también tiene correlato con la actividad jurisdiccional en la garantía de no repetición de otro hecho violento por parte del mismo agresor hacia la misma mujer u otra.</w:t>
      </w:r>
    </w:p>
    <w:p w14:paraId="13D438A7"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rPr>
        <w:tab/>
        <w:t xml:space="preserve">Esto </w:t>
      </w:r>
      <w:proofErr w:type="gramStart"/>
      <w:r>
        <w:rPr>
          <w:rFonts w:eastAsia="Times New Roman"/>
        </w:rPr>
        <w:t>se enmarca dentro de</w:t>
      </w:r>
      <w:proofErr w:type="gramEnd"/>
      <w:r>
        <w:rPr>
          <w:rFonts w:eastAsia="Times New Roman"/>
        </w:rPr>
        <w:t xml:space="preserve"> las obligaciones internacionales asumidas por el estado en los distintos pactos de derechos humanos oportunamente aprobados, patentizando el deber del Estado de actuar con la debida diligencia reforzada, y aplicando perspectiva de género.</w:t>
      </w:r>
    </w:p>
    <w:p w14:paraId="4F8E2374"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rPr>
        <w:tab/>
        <w:t>La conducta del accionado encuadra en el estereotipo del Art. 5</w:t>
      </w:r>
      <w:proofErr w:type="gramStart"/>
      <w:r>
        <w:rPr>
          <w:rFonts w:eastAsia="Times New Roman"/>
        </w:rPr>
        <w:t>°,inc.</w:t>
      </w:r>
      <w:proofErr w:type="gramEnd"/>
      <w:r>
        <w:rPr>
          <w:rFonts w:eastAsia="Times New Roman"/>
        </w:rPr>
        <w:t xml:space="preserve"> c) de la Ley 26.485 (Violencia Económica) esto es, la limitación de los recursos económicos destinados a satisfacer sus necesidades o privación de los medios indispensables para vivir una vida digna. </w:t>
      </w:r>
    </w:p>
    <w:p w14:paraId="1AF2E93E"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color w:val="000000"/>
        </w:rPr>
      </w:pPr>
      <w:r>
        <w:rPr>
          <w:rFonts w:eastAsia="Times New Roman"/>
        </w:rPr>
        <w:tab/>
        <w:t xml:space="preserve">Las violencias </w:t>
      </w:r>
      <w:proofErr w:type="gramStart"/>
      <w:r>
        <w:rPr>
          <w:rFonts w:eastAsia="Times New Roman"/>
        </w:rPr>
        <w:t>en razón del</w:t>
      </w:r>
      <w:proofErr w:type="gramEnd"/>
      <w:r>
        <w:rPr>
          <w:rFonts w:eastAsia="Times New Roman"/>
        </w:rPr>
        <w:t xml:space="preserve"> género presentan formas múltiples, interrelacionadas y recurrentes. Son el producto de la organización social que </w:t>
      </w:r>
      <w:r>
        <w:rPr>
          <w:rFonts w:eastAsia="Times New Roman"/>
        </w:rPr>
        <w:lastRenderedPageBreak/>
        <w:t>denominamos patriarcado, afectando directamente la autonomía física de las personas violentadas, pero también su autonomía económica y con ello la toma de decisiones (</w:t>
      </w:r>
      <w:r>
        <w:rPr>
          <w:color w:val="000000"/>
        </w:rPr>
        <w:t xml:space="preserve">MESECVI, 2014 </w:t>
      </w:r>
      <w:r>
        <w:rPr>
          <w:rFonts w:eastAsia="Times New Roman"/>
          <w:color w:val="000000"/>
        </w:rPr>
        <w:t>“</w:t>
      </w:r>
      <w:r>
        <w:rPr>
          <w:i/>
          <w:iCs/>
          <w:color w:val="000000"/>
        </w:rPr>
        <w:t>Gu</w:t>
      </w:r>
      <w:r>
        <w:rPr>
          <w:rFonts w:eastAsia="Times New Roman"/>
          <w:i/>
          <w:iCs/>
          <w:color w:val="000000"/>
        </w:rPr>
        <w:t xml:space="preserve">ía para la aplicación de la Convención Interamericana para Prevenir, Sancionar y Erradicar la Violencia contra la mujer”, </w:t>
      </w:r>
      <w:r>
        <w:rPr>
          <w:color w:val="000000"/>
        </w:rPr>
        <w:t>MESEVI, OEA, p</w:t>
      </w:r>
      <w:r>
        <w:rPr>
          <w:rFonts w:eastAsia="Times New Roman"/>
          <w:color w:val="000000"/>
        </w:rPr>
        <w:t>ág. 22.).</w:t>
      </w:r>
    </w:p>
    <w:p w14:paraId="73EAA9AA"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rPr>
          <w:rFonts w:eastAsia="Times New Roman"/>
          <w:color w:val="000000"/>
        </w:rPr>
        <w:tab/>
        <w:t>Siguiendo los lineamientos expuestos por la Dra. Claudia Portillo “</w:t>
      </w:r>
      <w:r>
        <w:t>Es esto de trascendental importancia, ya que la violencia econ</w:t>
      </w:r>
      <w:r>
        <w:rPr>
          <w:rFonts w:eastAsia="Times New Roman"/>
        </w:rPr>
        <w:t xml:space="preserve">ómica y patrimonial contra la mujer, ejercida por medio de la falta de pago de alimentos, resulta una práctica común que tiene por objeto controlar, aprovecharse de su rol de cuidadoras, obstruir su desarrollo social y laboral, castigarlas por haber efectuado la denuncia u obligarlas a desistir de ella, destacando que en muchas oportunidades la falta de recursos y de seguridad económica es lo que determina el sostenimiento de una denuncia. </w:t>
      </w:r>
    </w:p>
    <w:p w14:paraId="0C7BDD2A"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shd w:val="clear" w:color="auto" w:fill="FFFF00"/>
        </w:rPr>
      </w:pPr>
      <w:r>
        <w:rPr>
          <w:rFonts w:eastAsia="Times New Roman"/>
        </w:rPr>
        <w:tab/>
        <w:t>Por lo demás, estos instrumentos ponen de resalto el imperativo de ofrecer y facilitar protección jurídica y judicial ante el supuesto de violaciones a estos derechos, tal el caso de la CEDAW, en su art. 2, inc. c, que impone a los Estados</w:t>
      </w:r>
      <w:r>
        <w:rPr>
          <w:i/>
          <w:iCs/>
          <w:shd w:val="clear" w:color="auto" w:fill="FFFFFF"/>
        </w:rPr>
        <w:t xml:space="preserve"> </w:t>
      </w:r>
      <w:r>
        <w:rPr>
          <w:rFonts w:eastAsia="Times New Roman"/>
          <w:i/>
          <w:iCs/>
          <w:shd w:val="clear" w:color="auto" w:fill="FFFFFF"/>
        </w:rPr>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Pr>
          <w:shd w:val="clear" w:color="auto" w:fill="FFFFFF"/>
        </w:rPr>
        <w:t xml:space="preserve"> mientras que en su art. 5</w:t>
      </w:r>
      <w:r>
        <w:rPr>
          <w:b/>
          <w:bCs/>
        </w:rPr>
        <w:t xml:space="preserve"> </w:t>
      </w:r>
      <w:r>
        <w:t xml:space="preserve">indica </w:t>
      </w:r>
      <w:r>
        <w:rPr>
          <w:rFonts w:eastAsia="Times New Roman"/>
          <w:i/>
          <w:iCs/>
        </w:rPr>
        <w:t xml:space="preserve">“a)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14:paraId="06E05839"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pPr>
      <w:r>
        <w:tab/>
        <w:t>Los ni</w:t>
      </w:r>
      <w:r>
        <w:rPr>
          <w:rFonts w:eastAsia="Times New Roman"/>
        </w:rPr>
        <w:t>ños, niñas y adolescentes (en adelante NNA), son sujetos de derecho y se les reconocen los mismos derechos que al resto de las personas, pero además se los ampara con un plus basado en las particulares necesidades de este grupo etario. (</w:t>
      </w:r>
      <w:r>
        <w:rPr>
          <w:color w:val="000000"/>
        </w:rPr>
        <w:t>Respecto al proceso de especificaci</w:t>
      </w:r>
      <w:r>
        <w:rPr>
          <w:rFonts w:eastAsia="Times New Roman"/>
          <w:color w:val="000000"/>
        </w:rPr>
        <w:t xml:space="preserve">ón de los derechos humanos de niños, niñas y adolescentes, sus estándares y deber de protección especial ver Fernández, Silvia Eugenia, </w:t>
      </w:r>
      <w:r>
        <w:rPr>
          <w:rFonts w:eastAsia="Times New Roman"/>
          <w:i/>
          <w:iCs/>
          <w:color w:val="000000"/>
        </w:rPr>
        <w:t>“Vulnerabilidad, Infancia y Protección especial. Sobre la especificación de Derechos humanos fundamentales como tutela reforzada de protección”, e</w:t>
      </w:r>
      <w:r>
        <w:rPr>
          <w:color w:val="000000"/>
        </w:rPr>
        <w:t>n Fern</w:t>
      </w:r>
      <w:r>
        <w:rPr>
          <w:rFonts w:eastAsia="Times New Roman"/>
          <w:color w:val="000000"/>
        </w:rPr>
        <w:t>ández, Silvia Eugenia (Dir.)</w:t>
      </w:r>
      <w:r>
        <w:rPr>
          <w:i/>
          <w:iCs/>
          <w:color w:val="000000"/>
        </w:rPr>
        <w:t xml:space="preserve"> Tratado de Derechos de Ni</w:t>
      </w:r>
      <w:r>
        <w:rPr>
          <w:rFonts w:eastAsia="Times New Roman"/>
          <w:i/>
          <w:iCs/>
          <w:color w:val="000000"/>
        </w:rPr>
        <w:t>ños, Niñas y Adolescentes</w:t>
      </w:r>
      <w:r>
        <w:rPr>
          <w:color w:val="000000"/>
        </w:rPr>
        <w:t xml:space="preserve">, Tomo I, Edit. Abeledo </w:t>
      </w:r>
      <w:proofErr w:type="gramStart"/>
      <w:r>
        <w:rPr>
          <w:color w:val="000000"/>
        </w:rPr>
        <w:t>Perrot,  p</w:t>
      </w:r>
      <w:r>
        <w:rPr>
          <w:rFonts w:eastAsia="Times New Roman"/>
          <w:color w:val="000000"/>
        </w:rPr>
        <w:t>ág.</w:t>
      </w:r>
      <w:proofErr w:type="gramEnd"/>
      <w:r>
        <w:rPr>
          <w:rFonts w:eastAsia="Times New Roman"/>
          <w:color w:val="000000"/>
        </w:rPr>
        <w:t xml:space="preserve"> 63). C</w:t>
      </w:r>
      <w:r>
        <w:t>uyo n</w:t>
      </w:r>
      <w:r>
        <w:rPr>
          <w:rFonts w:eastAsia="Times New Roman"/>
        </w:rPr>
        <w:t xml:space="preserve">úcleo duro, en el ámbito </w:t>
      </w:r>
      <w:r>
        <w:rPr>
          <w:rFonts w:eastAsia="Times New Roman"/>
        </w:rPr>
        <w:lastRenderedPageBreak/>
        <w:t xml:space="preserve">Interamericano, ha sido denominado corpus </w:t>
      </w:r>
      <w:proofErr w:type="gramStart"/>
      <w:r>
        <w:rPr>
          <w:rFonts w:eastAsia="Times New Roman"/>
        </w:rPr>
        <w:t>iuris  internacional</w:t>
      </w:r>
      <w:proofErr w:type="gramEnd"/>
      <w:r>
        <w:rPr>
          <w:rFonts w:eastAsia="Times New Roman"/>
        </w:rPr>
        <w:t xml:space="preserve"> de protección de la infancia.  E</w:t>
      </w:r>
      <w:r>
        <w:rPr>
          <w:shd w:val="clear" w:color="auto" w:fill="FFFFFF"/>
        </w:rPr>
        <w:t>n tal sentido, y tal como lo reconoce la CDN, firmada en el a</w:t>
      </w:r>
      <w:r>
        <w:rPr>
          <w:rFonts w:eastAsia="Times New Roman"/>
          <w:shd w:val="clear" w:color="auto" w:fill="FFFFFF"/>
        </w:rPr>
        <w:t xml:space="preserve">ño 1989 e incluida entre los instrumentos que integran el llamado bloque de constitucionalidad federal, los progenitores -padres, madres- tienen deberes-funciones que hacen a su crianza y su desarrollo integral. Luego -más allá del núcleo familiar primario-, tienen también obligaciones el grupo de referencia o comunitario y, por último, el Estado. Cabe destacar que la CDN se nutre y amplía constantemente en virtud de lo que acerca de ella dice el Comité de los Derechos del Niño, por medio de las Observaciones Generales que coadyuvan progresivamente al cumplimiento de esa Convención que busca brindar una protección integral a la par de desterrar prácticas </w:t>
      </w:r>
      <w:proofErr w:type="spellStart"/>
      <w:r>
        <w:t>adultocentristas</w:t>
      </w:r>
      <w:proofErr w:type="spellEnd"/>
      <w:r>
        <w:t>.</w:t>
      </w:r>
    </w:p>
    <w:p w14:paraId="67A52C84" w14:textId="77777777" w:rsidR="005C16C9" w:rsidRDefault="005C16C9" w:rsidP="005C16C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jc w:val="both"/>
        <w:rPr>
          <w:rFonts w:eastAsia="Times New Roman"/>
        </w:rPr>
      </w:pPr>
      <w:r>
        <w:tab/>
        <w:t>Los NNA son v</w:t>
      </w:r>
      <w:r>
        <w:rPr>
          <w:rFonts w:eastAsia="Times New Roman"/>
        </w:rPr>
        <w:t>íctimas de las violencias en el ámbito familiar con el agravante dado por sus especiales condiciones de vulnerabilidad producto de ser sujetos en desarrollo, por lo que el no pago de los alimentos entrelazado con situaciones y condiciones de vulnerabilidad, habilitan también el dictado de medidas de protección tendientes a evitar su perpetuación y garantizar su no repetición.</w:t>
      </w:r>
    </w:p>
    <w:p w14:paraId="46A9AB6E"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 xml:space="preserve">En ese contexto, son pasibles las sanciones por </w:t>
      </w:r>
      <w:proofErr w:type="gramStart"/>
      <w:r>
        <w:rPr>
          <w:rFonts w:ascii="Times New Roman" w:hAnsi="Times New Roman" w:cs="Times New Roman"/>
        </w:rPr>
        <w:t>incumplimiento</w:t>
      </w:r>
      <w:proofErr w:type="gramEnd"/>
      <w:r>
        <w:rPr>
          <w:rFonts w:ascii="Times New Roman" w:hAnsi="Times New Roman" w:cs="Times New Roman"/>
        </w:rPr>
        <w:t xml:space="preserve"> pero </w:t>
      </w:r>
      <w:r>
        <w:rPr>
          <w:rFonts w:ascii="Times New Roman" w:hAnsi="Times New Roman" w:cs="Times New Roman"/>
          <w:b/>
          <w:bCs/>
        </w:rPr>
        <w:t>a su vez la necesaria conminación a la reflexión de las conductas acaecidas.</w:t>
      </w:r>
      <w:r>
        <w:rPr>
          <w:rFonts w:ascii="Times New Roman" w:hAnsi="Times New Roman" w:cs="Times New Roman"/>
        </w:rPr>
        <w:t xml:space="preserve"> </w:t>
      </w:r>
      <w:r>
        <w:rPr>
          <w:rFonts w:ascii="Times New Roman" w:hAnsi="Times New Roman" w:cs="Times New Roman"/>
        </w:rPr>
        <w:tab/>
        <w:t>Dejar pasar estos incumplimientos serían una clara invitación a que esa conducta persista, contrariando lo dispuesto en las Leyes 26485,27.499 (Ley Micaela), y la resolución General 35 de Comité de la CEDAW, que en su párrafo 24.2 establece que el hecho de que un Estado parte no adopte todas las medidas adecuadas para prevenir los actos de violencia por razón de género contra la mujer en los casos en que sus autoridades tengan conocimiento o deban ser conscientes del riesgo de dicha violencia, o el hecho de que no se investigue, enjuicie y castigue a los autores ni ofrezca reparación a las víctimas y supervivientes de estos actos, constituye un permiso tácito o una incitación a cometer actos de violencia por razón de género contra la mujer.</w:t>
      </w:r>
    </w:p>
    <w:p w14:paraId="76226EE1"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 xml:space="preserve">Por su parte, el art. 553 del </w:t>
      </w:r>
      <w:proofErr w:type="spellStart"/>
      <w:proofErr w:type="gramStart"/>
      <w:r>
        <w:rPr>
          <w:rFonts w:ascii="Times New Roman" w:hAnsi="Times New Roman" w:cs="Times New Roman"/>
        </w:rPr>
        <w:t>C.CyC</w:t>
      </w:r>
      <w:proofErr w:type="spellEnd"/>
      <w:proofErr w:type="gramEnd"/>
      <w:r>
        <w:rPr>
          <w:rFonts w:ascii="Times New Roman" w:hAnsi="Times New Roman" w:cs="Times New Roman"/>
        </w:rPr>
        <w:t xml:space="preserve">, admite la adopción de medidas razonables para asegurar la eficacia de la sentencia. Se trata de una norma abierta que faculta al juez para disponer “medidas razonables” para asegurar el cumplimiento de lo fijado en la sentencia. Esta disposición tiene su fuente en el derecho comparado, y también en las experiencias de las legislaciones provinciales, los aportes de la doctrina y alguna jurisprudencia que la despojó de las rígidas estructuras procesales y se animó a </w:t>
      </w:r>
      <w:r>
        <w:rPr>
          <w:rFonts w:ascii="Times New Roman" w:hAnsi="Times New Roman" w:cs="Times New Roman"/>
        </w:rPr>
        <w:lastRenderedPageBreak/>
        <w:t xml:space="preserve">implementar estrategias más creativas. (Código Civil y Comercial de la Nación Comentado, Directores Marisa Herrera, Gustavo Caramelo y Sebastián Picasso; </w:t>
      </w:r>
      <w:proofErr w:type="spellStart"/>
      <w:r>
        <w:rPr>
          <w:rFonts w:ascii="Times New Roman" w:hAnsi="Times New Roman" w:cs="Times New Roman"/>
        </w:rPr>
        <w:t>Infojus</w:t>
      </w:r>
      <w:proofErr w:type="spellEnd"/>
      <w:r>
        <w:rPr>
          <w:rFonts w:ascii="Times New Roman" w:hAnsi="Times New Roman" w:cs="Times New Roman"/>
        </w:rPr>
        <w:t xml:space="preserve">, </w:t>
      </w:r>
      <w:proofErr w:type="spellStart"/>
      <w:r>
        <w:rPr>
          <w:rFonts w:ascii="Times New Roman" w:hAnsi="Times New Roman" w:cs="Times New Roman"/>
        </w:rPr>
        <w:t>Tº</w:t>
      </w:r>
      <w:proofErr w:type="spellEnd"/>
      <w:r>
        <w:rPr>
          <w:rFonts w:ascii="Times New Roman" w:hAnsi="Times New Roman" w:cs="Times New Roman"/>
        </w:rPr>
        <w:t xml:space="preserve"> II p 271</w:t>
      </w:r>
      <w:proofErr w:type="gramStart"/>
      <w:r>
        <w:rPr>
          <w:rFonts w:ascii="Times New Roman" w:hAnsi="Times New Roman" w:cs="Times New Roman"/>
        </w:rPr>
        <w:t>).-</w:t>
      </w:r>
      <w:proofErr w:type="gramEnd"/>
    </w:p>
    <w:p w14:paraId="2204985D"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Ello en tanto, aún medidas como la Inhibición General de Bienes, la denuncia al fuero penal y la Inscripción al Registro de Deudores Alimentarios, no logran per se materializar el sustento diario reclamado y adeudado por el alimentante.</w:t>
      </w:r>
    </w:p>
    <w:p w14:paraId="2555ED8C"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 xml:space="preserve">2- Que ante los reiterados incumplimientos por parte del alimentante, el art. 553 del </w:t>
      </w:r>
      <w:proofErr w:type="spellStart"/>
      <w:proofErr w:type="gramStart"/>
      <w:r>
        <w:rPr>
          <w:rFonts w:ascii="Times New Roman" w:hAnsi="Times New Roman" w:cs="Times New Roman"/>
        </w:rPr>
        <w:t>C.CyC</w:t>
      </w:r>
      <w:proofErr w:type="spellEnd"/>
      <w:proofErr w:type="gramEnd"/>
      <w:r>
        <w:rPr>
          <w:rFonts w:ascii="Times New Roman" w:hAnsi="Times New Roman" w:cs="Times New Roman"/>
        </w:rPr>
        <w:t>, admite la adopción de medidas razonables para asegurar la eficacia de la sentencia; desconociéndose hasta el momento la existencia de bienes sobre los cuales hacer efectivas las medidas tendientes a la fácil percepción de los alimentos adeudados. Es decir, hay ausencia de bienes fácilmente liquidables.</w:t>
      </w:r>
    </w:p>
    <w:p w14:paraId="6C86CB74"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En relación al</w:t>
      </w:r>
      <w:proofErr w:type="gramEnd"/>
      <w:r>
        <w:rPr>
          <w:rFonts w:ascii="Times New Roman" w:hAnsi="Times New Roman" w:cs="Times New Roman"/>
        </w:rPr>
        <w:t xml:space="preserve"> Art. 553 ut supra citado, se ha dicho al efecto que la disposición opera a la manera de cierre del plexo normativo orientado a la eficacia de la sentencia de alimentos. Se trata de una norma abierta que faculta al juez para disponer “medidas razonables” para asegurar el cumplimiento de lo fijado en la sentencia. Esta disposición tiene su fuente en el derecho comparado, y también en las experiencias de las legislaciones provinciales, los aportes de la doctrina y alguna jurisprudencia que la despojó de las rígidas estructuras procesales y se animó a implementar estrategias más creativas. (Código Civil y Comercial de la Nación Comentado, Directores Marisa Herrera, Gustavo Caramelo y Sebastián Picasso; </w:t>
      </w:r>
      <w:proofErr w:type="spellStart"/>
      <w:r>
        <w:rPr>
          <w:rFonts w:ascii="Times New Roman" w:hAnsi="Times New Roman" w:cs="Times New Roman"/>
        </w:rPr>
        <w:t>Infojus</w:t>
      </w:r>
      <w:proofErr w:type="spellEnd"/>
      <w:r>
        <w:rPr>
          <w:rFonts w:ascii="Times New Roman" w:hAnsi="Times New Roman" w:cs="Times New Roman"/>
        </w:rPr>
        <w:t xml:space="preserve">, </w:t>
      </w:r>
      <w:proofErr w:type="spellStart"/>
      <w:r>
        <w:rPr>
          <w:rFonts w:ascii="Times New Roman" w:hAnsi="Times New Roman" w:cs="Times New Roman"/>
        </w:rPr>
        <w:t>Tº</w:t>
      </w:r>
      <w:proofErr w:type="spellEnd"/>
      <w:r>
        <w:rPr>
          <w:rFonts w:ascii="Times New Roman" w:hAnsi="Times New Roman" w:cs="Times New Roman"/>
        </w:rPr>
        <w:t xml:space="preserve"> II p 271</w:t>
      </w:r>
      <w:proofErr w:type="gramStart"/>
      <w:r>
        <w:rPr>
          <w:rFonts w:ascii="Times New Roman" w:hAnsi="Times New Roman" w:cs="Times New Roman"/>
        </w:rPr>
        <w:t>).-</w:t>
      </w:r>
      <w:proofErr w:type="gramEnd"/>
    </w:p>
    <w:p w14:paraId="0A3818CE"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Consecuentemente, además de lo peticionado, como medida para compeler al deudor alimentario remiso al cumplimiento de sus obligaciones, corresponde adoptar la presente medida que le impida al mismo operar dentro del sistema financiero nacional, contratar servicios financieros, préstamos, cheques, créditos, tarjetas de créditos y a su vez exponerlo como deudor frente al sistema, para prevenir a las entidades financieras de su comportamiento, por lo que cabe ordenar su inscripción en la Central de deudores del Sistema Financiero la cual funciona bajo la orbital del Banco Central de la República Argentina, en la máxima categoría de riesgo.</w:t>
      </w:r>
    </w:p>
    <w:p w14:paraId="251C4D76"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0"/>
        </w:rPr>
      </w:pPr>
      <w:r>
        <w:rPr>
          <w:rFonts w:ascii="Times New Roman" w:hAnsi="Times New Roman" w:cs="Times New Roman"/>
        </w:rPr>
        <w:tab/>
        <w:t xml:space="preserve">3.- </w:t>
      </w:r>
      <w:r>
        <w:rPr>
          <w:rFonts w:ascii="Times New Roman" w:hAnsi="Times New Roman" w:cs="Times New Roman"/>
          <w:color w:val="000000"/>
        </w:rPr>
        <w:t>Por tanto, frente al incumplimiento a la cuota alimentaria corresponde la adopción de las siguientes medidas tendientes no solo a garantizar el pago de lo adeudado, sino además a generar los cambios necesarios en la conducta del deudor alimentario para evitar nuevos incumplimientos.:</w:t>
      </w:r>
    </w:p>
    <w:p w14:paraId="49D46B4D"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ab/>
        <w:t xml:space="preserve">Conforme ello se ordena: </w:t>
      </w:r>
    </w:p>
    <w:p w14:paraId="75255517"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0"/>
        </w:rPr>
      </w:pPr>
      <w:r>
        <w:rPr>
          <w:rFonts w:ascii="Times New Roman" w:hAnsi="Times New Roman" w:cs="Times New Roman"/>
          <w:color w:val="000000"/>
        </w:rPr>
        <w:tab/>
        <w:t>1) Líbrese oficio a los fines de inscribir al Sr.</w:t>
      </w:r>
      <w:r>
        <w:rPr>
          <w:rFonts w:ascii="Times New Roman" w:hAnsi="Times New Roman" w:cs="Times New Roman"/>
          <w:b/>
          <w:bCs/>
        </w:rPr>
        <w:t xml:space="preserve"> </w:t>
      </w:r>
      <w:r>
        <w:rPr>
          <w:rFonts w:ascii="Times New Roman" w:hAnsi="Times New Roman" w:cs="Times New Roman"/>
          <w:b/>
          <w:bCs/>
          <w:color w:val="000000"/>
        </w:rPr>
        <w:t>C. L. N.</w:t>
      </w:r>
      <w:r>
        <w:rPr>
          <w:rFonts w:ascii="Times New Roman" w:hAnsi="Times New Roman" w:cs="Times New Roman"/>
          <w:color w:val="000000"/>
        </w:rPr>
        <w:t xml:space="preserve"> por ante el Registro de Deudores Alimentarios Morosos, conforme lo normado en el Art. 3º de la Ley 13.074 y arts. 550, 553 y 670 del C.C. y C, quedando la confección y diligenciamiento </w:t>
      </w:r>
      <w:proofErr w:type="gramStart"/>
      <w:r>
        <w:rPr>
          <w:rFonts w:ascii="Times New Roman" w:hAnsi="Times New Roman" w:cs="Times New Roman"/>
          <w:color w:val="000000"/>
        </w:rPr>
        <w:t>del mismo</w:t>
      </w:r>
      <w:proofErr w:type="gramEnd"/>
      <w:r>
        <w:rPr>
          <w:rFonts w:ascii="Times New Roman" w:hAnsi="Times New Roman" w:cs="Times New Roman"/>
          <w:color w:val="000000"/>
        </w:rPr>
        <w:t xml:space="preserve"> a cargo de la parte interesada. </w:t>
      </w:r>
    </w:p>
    <w:p w14:paraId="343E57AE"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 xml:space="preserve">Habida cuenta que tanto el </w:t>
      </w:r>
      <w:proofErr w:type="gramStart"/>
      <w:r>
        <w:rPr>
          <w:rFonts w:ascii="Times New Roman" w:hAnsi="Times New Roman" w:cs="Times New Roman"/>
        </w:rPr>
        <w:t>Secretario</w:t>
      </w:r>
      <w:proofErr w:type="gramEnd"/>
      <w:r>
        <w:rPr>
          <w:rFonts w:ascii="Times New Roman" w:hAnsi="Times New Roman" w:cs="Times New Roman"/>
        </w:rPr>
        <w:t xml:space="preserve"> de este organismo como el suscripto contamos con firma digital en el marco de artículo 3ro. de la ley 25.506, en virtud de lo normado por el segundo párrafo del artículo 288 del Código Civil y Comercial de la Nación, deviene innecesaria la legalización de dichas firmas ante la Excma. Cámara de Apelaciones Departamental (Art. 15 del </w:t>
      </w:r>
      <w:proofErr w:type="spellStart"/>
      <w:r>
        <w:rPr>
          <w:rFonts w:ascii="Times New Roman" w:hAnsi="Times New Roman" w:cs="Times New Roman"/>
        </w:rPr>
        <w:t>Dec</w:t>
      </w:r>
      <w:proofErr w:type="spellEnd"/>
      <w:r>
        <w:rPr>
          <w:rFonts w:ascii="Times New Roman" w:hAnsi="Times New Roman" w:cs="Times New Roman"/>
        </w:rPr>
        <w:t>. 340/2004 reglamentario de la Ley 13.074). en tanto dicho requerimiento obedece a la legalización de la firma ológrafa.</w:t>
      </w:r>
    </w:p>
    <w:p w14:paraId="56B67FA8" w14:textId="77777777" w:rsidR="005C16C9" w:rsidRDefault="005C16C9" w:rsidP="005C1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Pr>
          <w:rFonts w:ascii="Times New Roman" w:hAnsi="Times New Roman" w:cs="Times New Roman"/>
        </w:rPr>
        <w:tab/>
        <w:t xml:space="preserve">Por ello, a los fines de evitar dispendios jurisdiccionales innecesarios, hágase saber a la parte requirente que dicho oficio deberá </w:t>
      </w:r>
      <w:proofErr w:type="spellStart"/>
      <w:r>
        <w:rPr>
          <w:rFonts w:ascii="Times New Roman" w:hAnsi="Times New Roman" w:cs="Times New Roman"/>
        </w:rPr>
        <w:t>se</w:t>
      </w:r>
      <w:proofErr w:type="spellEnd"/>
      <w:r>
        <w:rPr>
          <w:rFonts w:ascii="Times New Roman" w:hAnsi="Times New Roman" w:cs="Times New Roman"/>
        </w:rPr>
        <w:t xml:space="preserve"> presentado para su rúbrica por parte del Sr. Actuario y del Magistrado interviniente, y luego se procederá a su diligenciamiento al domicilio electrónico del organismo </w:t>
      </w:r>
      <w:proofErr w:type="spellStart"/>
      <w:proofErr w:type="gramStart"/>
      <w:r>
        <w:rPr>
          <w:rFonts w:ascii="Times New Roman" w:hAnsi="Times New Roman" w:cs="Times New Roman"/>
        </w:rPr>
        <w:t>reg.deudores</w:t>
      </w:r>
      <w:proofErr w:type="gramEnd"/>
      <w:r>
        <w:rPr>
          <w:rFonts w:ascii="Times New Roman" w:hAnsi="Times New Roman" w:cs="Times New Roman"/>
        </w:rPr>
        <w:t>.alimentarios@mjus,gba.gov.ar</w:t>
      </w:r>
      <w:proofErr w:type="spellEnd"/>
      <w:r>
        <w:rPr>
          <w:rFonts w:ascii="Times New Roman" w:hAnsi="Times New Roman" w:cs="Times New Roman"/>
        </w:rPr>
        <w:t xml:space="preserve">. </w:t>
      </w:r>
    </w:p>
    <w:p w14:paraId="324C3AE1" w14:textId="77777777" w:rsidR="005C16C9" w:rsidRDefault="005C16C9" w:rsidP="005C16C9">
      <w:pPr>
        <w:pStyle w:val="Normal0"/>
        <w:spacing w:line="360" w:lineRule="auto"/>
        <w:jc w:val="both"/>
        <w:rPr>
          <w:rFonts w:ascii="Times New Roman" w:hAnsi="Times New Roman" w:cs="Times New Roman"/>
          <w:color w:val="000000"/>
        </w:rPr>
      </w:pPr>
      <w:r>
        <w:rPr>
          <w:rFonts w:ascii="Times New Roman" w:hAnsi="Times New Roman" w:cs="Times New Roman"/>
          <w:color w:val="000000"/>
        </w:rPr>
        <w:tab/>
        <w:t xml:space="preserve">2) Ordenar el </w:t>
      </w:r>
      <w:r>
        <w:rPr>
          <w:rFonts w:ascii="Times New Roman" w:hAnsi="Times New Roman" w:cs="Times New Roman"/>
          <w:b/>
          <w:bCs/>
          <w:color w:val="000000"/>
        </w:rPr>
        <w:t>secuestro de la licencia de conducir</w:t>
      </w:r>
      <w:r>
        <w:rPr>
          <w:rFonts w:ascii="Times New Roman" w:hAnsi="Times New Roman" w:cs="Times New Roman"/>
          <w:color w:val="000000"/>
        </w:rPr>
        <w:t xml:space="preserve"> del alimentante </w:t>
      </w:r>
      <w:r>
        <w:rPr>
          <w:rFonts w:ascii="Times New Roman" w:hAnsi="Times New Roman" w:cs="Times New Roman"/>
          <w:b/>
          <w:bCs/>
          <w:color w:val="000000"/>
        </w:rPr>
        <w:t>C. L. N.</w:t>
      </w:r>
      <w:r>
        <w:rPr>
          <w:rFonts w:ascii="Times New Roman" w:hAnsi="Times New Roman" w:cs="Times New Roman"/>
          <w:color w:val="000000"/>
        </w:rPr>
        <w:t xml:space="preserve"> a cuyo fin líbrese oficio a la Estación de </w:t>
      </w:r>
      <w:proofErr w:type="spellStart"/>
      <w:r>
        <w:rPr>
          <w:rFonts w:ascii="Times New Roman" w:hAnsi="Times New Roman" w:cs="Times New Roman"/>
          <w:color w:val="000000"/>
        </w:rPr>
        <w:t>Policia</w:t>
      </w:r>
      <w:proofErr w:type="spellEnd"/>
      <w:r>
        <w:rPr>
          <w:rFonts w:ascii="Times New Roman" w:hAnsi="Times New Roman" w:cs="Times New Roman"/>
          <w:color w:val="000000"/>
        </w:rPr>
        <w:t xml:space="preserve"> Comunal, con carácter de urgente trámite, autorizándose el auxilio de la fuerza </w:t>
      </w:r>
      <w:proofErr w:type="spellStart"/>
      <w:r>
        <w:rPr>
          <w:rFonts w:ascii="Times New Roman" w:hAnsi="Times New Roman" w:cs="Times New Roman"/>
          <w:color w:val="000000"/>
        </w:rPr>
        <w:t>publica</w:t>
      </w:r>
      <w:proofErr w:type="spellEnd"/>
      <w:r>
        <w:rPr>
          <w:rFonts w:ascii="Times New Roman" w:hAnsi="Times New Roman" w:cs="Times New Roman"/>
          <w:color w:val="000000"/>
        </w:rPr>
        <w:t xml:space="preserve"> y la facultad de allanar en caso de resistencia al ingreso al domicilio (Art. 153 del CPCC).</w:t>
      </w:r>
    </w:p>
    <w:p w14:paraId="317BA454" w14:textId="77777777" w:rsidR="005C16C9" w:rsidRDefault="005C16C9" w:rsidP="005C16C9">
      <w:pPr>
        <w:pStyle w:val="Normal0"/>
        <w:spacing w:line="360" w:lineRule="auto"/>
        <w:jc w:val="both"/>
        <w:rPr>
          <w:rFonts w:ascii="Times New Roman" w:hAnsi="Times New Roman" w:cs="Times New Roman"/>
          <w:color w:val="000000"/>
        </w:rPr>
      </w:pPr>
      <w:r>
        <w:rPr>
          <w:rFonts w:ascii="Times New Roman" w:hAnsi="Times New Roman" w:cs="Times New Roman"/>
          <w:color w:val="000000"/>
        </w:rPr>
        <w:tab/>
        <w:t xml:space="preserve">Sin perjuicio del resultado de dicha medida, </w:t>
      </w:r>
      <w:proofErr w:type="spellStart"/>
      <w:r>
        <w:rPr>
          <w:rFonts w:ascii="Times New Roman" w:hAnsi="Times New Roman" w:cs="Times New Roman"/>
          <w:color w:val="000000"/>
        </w:rPr>
        <w:t>dispónese</w:t>
      </w:r>
      <w:proofErr w:type="spellEnd"/>
      <w:r>
        <w:rPr>
          <w:rFonts w:ascii="Times New Roman" w:hAnsi="Times New Roman" w:cs="Times New Roman"/>
          <w:color w:val="000000"/>
        </w:rPr>
        <w:t xml:space="preserve"> la prohibición de conducir vehículos respecto del alimentante hasta tanto se regularice la deuda alimentaria y se garantice y/o afiance el pago de los alimentos futuros, lo que deberá ser comunicado a las autoridades Policiales y Municipales (Policía Comunal, Oficina de </w:t>
      </w:r>
      <w:proofErr w:type="spellStart"/>
      <w:r>
        <w:rPr>
          <w:rFonts w:ascii="Times New Roman" w:hAnsi="Times New Roman" w:cs="Times New Roman"/>
          <w:color w:val="000000"/>
        </w:rPr>
        <w:t>Transito</w:t>
      </w:r>
      <w:proofErr w:type="spellEnd"/>
      <w:r>
        <w:rPr>
          <w:rFonts w:ascii="Times New Roman" w:hAnsi="Times New Roman" w:cs="Times New Roman"/>
          <w:color w:val="000000"/>
        </w:rPr>
        <w:t xml:space="preserve">, guardia Urbana y gendarmería), a fin de que tomen conocimiento mediante oficio, quedando la confección y diligenciamiento del mismo a cargo de la parte solicitante. (Art. 34 inc. 5, 36 </w:t>
      </w:r>
      <w:proofErr w:type="spellStart"/>
      <w:r>
        <w:rPr>
          <w:rFonts w:ascii="Times New Roman" w:hAnsi="Times New Roman" w:cs="Times New Roman"/>
          <w:color w:val="000000"/>
        </w:rPr>
        <w:t>ss</w:t>
      </w:r>
      <w:proofErr w:type="spellEnd"/>
      <w:r>
        <w:rPr>
          <w:rFonts w:ascii="Times New Roman" w:hAnsi="Times New Roman" w:cs="Times New Roman"/>
          <w:color w:val="000000"/>
        </w:rPr>
        <w:t xml:space="preserve"> y </w:t>
      </w:r>
      <w:proofErr w:type="spellStart"/>
      <w:r>
        <w:rPr>
          <w:rFonts w:ascii="Times New Roman" w:hAnsi="Times New Roman" w:cs="Times New Roman"/>
          <w:color w:val="000000"/>
        </w:rPr>
        <w:t>cc</w:t>
      </w:r>
      <w:proofErr w:type="spellEnd"/>
      <w:r>
        <w:rPr>
          <w:rFonts w:ascii="Times New Roman" w:hAnsi="Times New Roman" w:cs="Times New Roman"/>
          <w:color w:val="000000"/>
        </w:rPr>
        <w:t xml:space="preserve"> del CPCC).</w:t>
      </w:r>
    </w:p>
    <w:p w14:paraId="6F5BF524" w14:textId="77777777" w:rsidR="005C16C9" w:rsidRDefault="005C16C9" w:rsidP="005C16C9">
      <w:pPr>
        <w:pStyle w:val="Normal0"/>
        <w:tabs>
          <w:tab w:val="left" w:pos="623"/>
          <w:tab w:val="left" w:pos="2268"/>
        </w:tabs>
        <w:spacing w:line="360" w:lineRule="auto"/>
        <w:jc w:val="both"/>
        <w:rPr>
          <w:rFonts w:ascii="Times New Roman" w:hAnsi="Times New Roman" w:cs="Times New Roman"/>
          <w:b/>
          <w:bCs/>
        </w:rPr>
      </w:pPr>
      <w:r>
        <w:rPr>
          <w:rFonts w:ascii="Times New Roman" w:hAnsi="Times New Roman" w:cs="Times New Roman"/>
          <w:color w:val="000000"/>
        </w:rPr>
        <w:t xml:space="preserve">                 Hágase saber al letrado requirente que podrá remitir el oficio respectivo al mail: </w:t>
      </w:r>
      <w:r>
        <w:rPr>
          <w:rFonts w:ascii="Times New Roman" w:hAnsi="Times New Roman" w:cs="Times New Roman"/>
          <w:b/>
          <w:bCs/>
          <w:color w:val="000000"/>
        </w:rPr>
        <w:t xml:space="preserve"> </w:t>
      </w:r>
      <w:r>
        <w:rPr>
          <w:rFonts w:ascii="Times New Roman" w:hAnsi="Times New Roman" w:cs="Times New Roman"/>
          <w:b/>
          <w:bCs/>
        </w:rPr>
        <w:t>policiadx@gmail.com</w:t>
      </w:r>
    </w:p>
    <w:p w14:paraId="35D862FC" w14:textId="77777777" w:rsidR="005C16C9" w:rsidRDefault="005C16C9" w:rsidP="005C16C9">
      <w:pPr>
        <w:pStyle w:val="Normal0"/>
        <w:spacing w:line="360" w:lineRule="auto"/>
        <w:jc w:val="both"/>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 xml:space="preserve"> Sin perjuicio de ello, </w:t>
      </w:r>
      <w:r>
        <w:rPr>
          <w:rFonts w:ascii="Times New Roman" w:hAnsi="Times New Roman" w:cs="Times New Roman"/>
        </w:rPr>
        <w:t xml:space="preserve">hágase saber al informante que deberán dirigir su respuesta al mail institucional de este organismo: </w:t>
      </w:r>
      <w:r>
        <w:rPr>
          <w:rFonts w:ascii="Times New Roman" w:hAnsi="Times New Roman" w:cs="Times New Roman"/>
          <w:b/>
          <w:bCs/>
        </w:rPr>
        <w:t>jpdaireaux@jusbuenosaires.gov.ar</w:t>
      </w:r>
    </w:p>
    <w:p w14:paraId="495A2F98" w14:textId="77777777" w:rsidR="005C16C9" w:rsidRDefault="005C16C9" w:rsidP="005C16C9">
      <w:pPr>
        <w:pStyle w:val="Norm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ab/>
        <w:t>Se encomienda al letrado de la parte requirente, la confección y diligenciamiento del mandamiento de secuestro ordenado.</w:t>
      </w:r>
    </w:p>
    <w:p w14:paraId="23E0B017" w14:textId="77777777" w:rsidR="005C16C9" w:rsidRDefault="005C16C9" w:rsidP="005C16C9">
      <w:pPr>
        <w:pStyle w:val="Normal0"/>
        <w:spacing w:line="36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i/>
          <w:iCs/>
          <w:color w:val="000000"/>
        </w:rPr>
        <w:tab/>
      </w:r>
      <w:r>
        <w:rPr>
          <w:rFonts w:ascii="Times New Roman" w:hAnsi="Times New Roman" w:cs="Times New Roman"/>
          <w:color w:val="000000"/>
        </w:rPr>
        <w:t xml:space="preserve">3.- </w:t>
      </w:r>
      <w:r>
        <w:rPr>
          <w:rFonts w:ascii="Times New Roman" w:hAnsi="Times New Roman" w:cs="Times New Roman"/>
        </w:rPr>
        <w:t xml:space="preserve">Ordenase la inscripción del Sr. </w:t>
      </w:r>
      <w:r>
        <w:rPr>
          <w:rFonts w:ascii="Times New Roman" w:hAnsi="Times New Roman" w:cs="Times New Roman"/>
          <w:b/>
          <w:bCs/>
          <w:noProof/>
          <w:color w:val="000000"/>
        </w:rPr>
        <w:t>C. L. N.</w:t>
      </w:r>
      <w:r>
        <w:rPr>
          <w:rFonts w:ascii="Times New Roman" w:hAnsi="Times New Roman" w:cs="Times New Roman"/>
        </w:rPr>
        <w:t xml:space="preserve"> en la Central de deudores del Sistema Financiero la cual funciona bajo la orbital del Banco Central de la República Argentina, en la máxima categoría de riesgo crediticio hasta tanto exista resolución judicial en contrario.</w:t>
      </w:r>
    </w:p>
    <w:p w14:paraId="7DD01BF9" w14:textId="77777777" w:rsidR="005C16C9" w:rsidRDefault="005C16C9" w:rsidP="005C16C9">
      <w:pPr>
        <w:pStyle w:val="Normal0"/>
        <w:spacing w:line="360" w:lineRule="auto"/>
        <w:jc w:val="both"/>
        <w:rPr>
          <w:rFonts w:ascii="Times New Roman" w:hAnsi="Times New Roman" w:cs="Times New Roman"/>
        </w:rPr>
      </w:pPr>
      <w:r>
        <w:rPr>
          <w:rFonts w:ascii="Times New Roman" w:hAnsi="Times New Roman" w:cs="Times New Roman"/>
        </w:rPr>
        <w:tab/>
        <w:t>A tal fin ofíciese electrónicamente en la forma de estilo</w:t>
      </w:r>
    </w:p>
    <w:p w14:paraId="33CE1372" w14:textId="77777777" w:rsidR="005C16C9" w:rsidRDefault="005C16C9" w:rsidP="005C16C9">
      <w:pPr>
        <w:pStyle w:val="Normal0"/>
        <w:spacing w:line="360" w:lineRule="auto"/>
        <w:jc w:val="both"/>
        <w:rPr>
          <w:rFonts w:ascii="Times New Roman" w:hAnsi="Times New Roman" w:cs="Times New Roman"/>
        </w:rPr>
      </w:pPr>
      <w:r>
        <w:rPr>
          <w:rFonts w:ascii="Times New Roman" w:hAnsi="Times New Roman" w:cs="Times New Roman"/>
        </w:rPr>
        <w:tab/>
        <w:t xml:space="preserve">4.- La presente resolución se notifica en los términos de los Arts. 10, 11 a) y 13 del Ac. 4013, texto ordenado y modificado por Ac. 4039 de la S.C.B.A.- Para el supuesto de aquellas partes que tengan su domicilio procesal constituido en los estrados del Juzgado o no hubieran constituido domicilio electrónico, la notificación operará los </w:t>
      </w:r>
      <w:proofErr w:type="gramStart"/>
      <w:r>
        <w:rPr>
          <w:rFonts w:ascii="Times New Roman" w:hAnsi="Times New Roman" w:cs="Times New Roman"/>
        </w:rPr>
        <w:t>días martes</w:t>
      </w:r>
      <w:proofErr w:type="gramEnd"/>
      <w:r>
        <w:rPr>
          <w:rFonts w:ascii="Times New Roman" w:hAnsi="Times New Roman" w:cs="Times New Roman"/>
        </w:rPr>
        <w:t xml:space="preserve"> y viernes, o el siguiente hábil si este fuera feriado, mediante su publicación en la Mesa de Entradas Virtual (MEV) (Conf. Art. 11 del Ac. 4013 de la SCBA</w:t>
      </w:r>
      <w:proofErr w:type="gramStart"/>
      <w:r>
        <w:rPr>
          <w:rFonts w:ascii="Times New Roman" w:hAnsi="Times New Roman" w:cs="Times New Roman"/>
        </w:rPr>
        <w:t>).-</w:t>
      </w:r>
      <w:proofErr w:type="gramEnd"/>
    </w:p>
    <w:p w14:paraId="03CCDD27" w14:textId="77777777" w:rsidR="005C16C9" w:rsidRDefault="005C16C9" w:rsidP="005C16C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p>
    <w:p w14:paraId="654CC163" w14:textId="77777777" w:rsidR="005C16C9" w:rsidRDefault="005C16C9" w:rsidP="005C16C9">
      <w:pPr>
        <w:pStyle w:val="Normal0"/>
        <w:spacing w:line="360" w:lineRule="auto"/>
        <w:jc w:val="both"/>
        <w:rPr>
          <w:rFonts w:ascii="Times New Roman" w:hAnsi="Times New Roman" w:cs="Times New Roman"/>
          <w:i/>
          <w:iCs/>
          <w:color w:val="000000"/>
        </w:rPr>
      </w:pPr>
    </w:p>
    <w:p w14:paraId="4CA3D0D9" w14:textId="77777777" w:rsidR="005C16C9" w:rsidRDefault="005C16C9" w:rsidP="005C16C9">
      <w:pPr>
        <w:pStyle w:val="Normal0"/>
        <w:spacing w:line="360" w:lineRule="auto"/>
        <w:jc w:val="both"/>
        <w:rPr>
          <w:rFonts w:ascii="Times New Roman" w:hAnsi="Times New Roman" w:cs="Times New Roman"/>
          <w:color w:val="000000"/>
        </w:rPr>
      </w:pPr>
      <w:r>
        <w:rPr>
          <w:rFonts w:ascii="Times New Roman" w:hAnsi="Times New Roman" w:cs="Times New Roman"/>
          <w:color w:val="000000"/>
        </w:rPr>
        <w:tab/>
      </w:r>
    </w:p>
    <w:p w14:paraId="43900586" w14:textId="77777777" w:rsidR="005C16C9" w:rsidRDefault="005C16C9" w:rsidP="005C16C9">
      <w:pPr>
        <w:pStyle w:val="Normal0"/>
        <w:tabs>
          <w:tab w:val="left" w:pos="0"/>
          <w:tab w:val="left" w:pos="508"/>
          <w:tab w:val="left" w:pos="762"/>
          <w:tab w:val="left" w:pos="1016"/>
          <w:tab w:val="left" w:pos="1270"/>
          <w:tab w:val="left" w:pos="1524"/>
          <w:tab w:val="left" w:pos="1778"/>
          <w:tab w:val="left" w:pos="2032"/>
          <w:tab w:val="left" w:pos="2286"/>
          <w:tab w:val="left" w:pos="2540"/>
          <w:tab w:val="left" w:pos="2794"/>
          <w:tab w:val="left" w:pos="3048"/>
          <w:tab w:val="left" w:pos="3302"/>
          <w:tab w:val="left" w:pos="3556"/>
        </w:tabs>
        <w:spacing w:line="360" w:lineRule="auto"/>
        <w:jc w:val="right"/>
        <w:rPr>
          <w:rFonts w:ascii="Times New Roman" w:hAnsi="Times New Roman" w:cs="Times New Roman"/>
          <w:color w:val="000000"/>
        </w:rPr>
      </w:pPr>
      <w:r>
        <w:rPr>
          <w:rFonts w:ascii="Times New Roman" w:hAnsi="Times New Roman" w:cs="Times New Roman"/>
          <w:color w:val="000000"/>
          <w:sz w:val="16"/>
          <w:szCs w:val="16"/>
        </w:rPr>
        <w:t>MNE</w:t>
      </w:r>
    </w:p>
    <w:p w14:paraId="0730C6B7" w14:textId="77777777" w:rsidR="005C16C9" w:rsidRDefault="005C16C9" w:rsidP="005C16C9">
      <w:pPr>
        <w:pStyle w:val="Normal0"/>
        <w:jc w:val="center"/>
        <w:rPr>
          <w:rFonts w:ascii="Times New Roman" w:hAnsi="Times New Roman" w:cs="Times New Roman"/>
          <w:b/>
          <w:bCs/>
          <w:color w:val="000000"/>
        </w:rPr>
      </w:pPr>
      <w:r>
        <w:rPr>
          <w:rFonts w:ascii="Times New Roman" w:hAnsi="Times New Roman" w:cs="Times New Roman"/>
          <w:b/>
          <w:bCs/>
          <w:color w:val="000000"/>
        </w:rPr>
        <w:t xml:space="preserve">Dr. Javier Pablo Heredia </w:t>
      </w:r>
    </w:p>
    <w:p w14:paraId="75441692" w14:textId="77777777" w:rsidR="005C16C9" w:rsidRDefault="005C16C9" w:rsidP="005C16C9">
      <w:pPr>
        <w:pStyle w:val="Normal0"/>
        <w:jc w:val="center"/>
        <w:rPr>
          <w:rFonts w:ascii="Times New Roman" w:hAnsi="Times New Roman" w:cs="Times New Roman"/>
          <w:b/>
          <w:bCs/>
          <w:color w:val="000000"/>
        </w:rPr>
      </w:pPr>
      <w:r>
        <w:rPr>
          <w:rFonts w:ascii="Times New Roman" w:hAnsi="Times New Roman" w:cs="Times New Roman"/>
          <w:b/>
          <w:bCs/>
          <w:color w:val="000000"/>
        </w:rPr>
        <w:t xml:space="preserve">   Juez de Paz  </w:t>
      </w:r>
    </w:p>
    <w:p w14:paraId="4EFD7C65" w14:textId="77777777" w:rsidR="00E94364" w:rsidRDefault="00E94364" w:rsidP="00E94364">
      <w:pPr>
        <w:jc w:val="both"/>
      </w:pPr>
    </w:p>
    <w:sectPr w:rsidR="00E94364" w:rsidSect="009A2DE2">
      <w:pgSz w:w="11906" w:h="16838"/>
      <w:pgMar w:top="2552" w:right="1134"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Encod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64"/>
    <w:rsid w:val="0005443B"/>
    <w:rsid w:val="0036307B"/>
    <w:rsid w:val="005C16C9"/>
    <w:rsid w:val="009A2DE2"/>
    <w:rsid w:val="00A95EBE"/>
    <w:rsid w:val="00E943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4070"/>
  <w15:chartTrackingRefBased/>
  <w15:docId w15:val="{39C5CABD-F541-4D7A-891E-82B7ADF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6">
    <w:name w:val="A6"/>
    <w:uiPriority w:val="99"/>
    <w:rsid w:val="00A95EBE"/>
    <w:rPr>
      <w:rFonts w:ascii="Encode Sans" w:hAnsi="Encode Sans" w:cs="Encode Sans" w:hint="default"/>
      <w:color w:val="000000"/>
      <w:sz w:val="21"/>
      <w:szCs w:val="21"/>
    </w:rPr>
  </w:style>
  <w:style w:type="paragraph" w:customStyle="1" w:styleId="Normal0">
    <w:name w:val="[Normal]"/>
    <w:uiPriority w:val="99"/>
    <w:rsid w:val="005C16C9"/>
    <w:pPr>
      <w:widowControl w:val="0"/>
      <w:autoSpaceDE w:val="0"/>
      <w:autoSpaceDN w:val="0"/>
      <w:adjustRightInd w:val="0"/>
      <w:spacing w:after="0" w:line="240" w:lineRule="auto"/>
    </w:pPr>
    <w:rPr>
      <w:rFonts w:eastAsiaTheme="minorEastAsia" w:cs="Arial"/>
      <w:szCs w:val="24"/>
      <w:lang w:eastAsia="es-AR"/>
    </w:rPr>
  </w:style>
  <w:style w:type="paragraph" w:styleId="NormalWeb">
    <w:name w:val="Normal (Web)"/>
    <w:basedOn w:val="Normal"/>
    <w:uiPriority w:val="99"/>
    <w:rsid w:val="005C16C9"/>
    <w:pPr>
      <w:autoSpaceDE w:val="0"/>
      <w:autoSpaceDN w:val="0"/>
      <w:adjustRightInd w:val="0"/>
      <w:spacing w:before="100" w:after="100" w:line="240" w:lineRule="auto"/>
    </w:pPr>
    <w:rPr>
      <w:rFonts w:ascii="Times New Roman" w:eastAsiaTheme="minorEastAsia" w:hAnsi="Times New Roman" w:cs="Times New Roman"/>
      <w:szCs w:val="24"/>
      <w:lang w:eastAsia="es-AR"/>
    </w:rPr>
  </w:style>
  <w:style w:type="paragraph" w:styleId="Prrafodelista">
    <w:name w:val="List Paragraph"/>
    <w:basedOn w:val="Normal"/>
    <w:uiPriority w:val="99"/>
    <w:qFormat/>
    <w:rsid w:val="005C16C9"/>
    <w:pPr>
      <w:autoSpaceDE w:val="0"/>
      <w:autoSpaceDN w:val="0"/>
      <w:adjustRightInd w:val="0"/>
      <w:spacing w:after="200" w:line="276" w:lineRule="auto"/>
      <w:ind w:left="720"/>
    </w:pPr>
    <w:rPr>
      <w:rFonts w:ascii="Calibri" w:eastAsiaTheme="minorEastAsia" w:hAnsi="Calibri" w:cs="Calibri"/>
      <w:sz w:val="2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erica perez</cp:lastModifiedBy>
  <cp:revision>2</cp:revision>
  <dcterms:created xsi:type="dcterms:W3CDTF">2023-09-20T18:56:00Z</dcterms:created>
  <dcterms:modified xsi:type="dcterms:W3CDTF">2023-09-20T18:56:00Z</dcterms:modified>
</cp:coreProperties>
</file>