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37D4" w14:textId="7C4170C5" w:rsidR="00D9097B" w:rsidRPr="00EF4D5F" w:rsidRDefault="00CE77A2" w:rsidP="00BB000C">
      <w:pPr>
        <w:spacing w:line="360" w:lineRule="auto"/>
        <w:jc w:val="both"/>
        <w:rPr>
          <w:rFonts w:ascii="Arial" w:hAnsi="Arial" w:cs="Arial"/>
          <w:b/>
          <w:sz w:val="24"/>
          <w:szCs w:val="24"/>
        </w:rPr>
      </w:pPr>
      <w:r w:rsidRPr="00CC4795">
        <w:rPr>
          <w:rFonts w:ascii="Arial" w:hAnsi="Arial" w:cs="Arial"/>
          <w:b/>
          <w:sz w:val="24"/>
          <w:szCs w:val="24"/>
        </w:rPr>
        <w:t xml:space="preserve">Fallo: </w:t>
      </w:r>
      <w:r w:rsidR="00CC4795" w:rsidRPr="00CC4795">
        <w:rPr>
          <w:rFonts w:ascii="Arial" w:hAnsi="Arial" w:cs="Arial"/>
          <w:b/>
          <w:bCs/>
          <w:sz w:val="24"/>
          <w:szCs w:val="24"/>
        </w:rPr>
        <w:t>Alimentos provisorios como medida cautelar genérica</w:t>
      </w:r>
      <w:r w:rsidR="00CC4795">
        <w:rPr>
          <w:rFonts w:ascii="Arial" w:hAnsi="Arial" w:cs="Arial"/>
          <w:b/>
          <w:bCs/>
          <w:sz w:val="24"/>
          <w:szCs w:val="24"/>
        </w:rPr>
        <w:t>,</w:t>
      </w:r>
      <w:r w:rsidR="00EF4D5F">
        <w:rPr>
          <w:rFonts w:ascii="Arial" w:hAnsi="Arial" w:cs="Arial"/>
          <w:b/>
          <w:bCs/>
          <w:sz w:val="24"/>
          <w:szCs w:val="24"/>
        </w:rPr>
        <w:t xml:space="preserve"> </w:t>
      </w:r>
      <w:r w:rsidR="00CC4795">
        <w:rPr>
          <w:rFonts w:ascii="Arial" w:hAnsi="Arial" w:cs="Arial"/>
          <w:b/>
          <w:bCs/>
          <w:sz w:val="24"/>
          <w:szCs w:val="24"/>
        </w:rPr>
        <w:t xml:space="preserve">con el nuevo </w:t>
      </w:r>
      <w:r w:rsidR="008A0616" w:rsidRPr="00CC4795">
        <w:rPr>
          <w:rFonts w:ascii="Arial" w:hAnsi="Arial" w:cs="Arial"/>
          <w:b/>
          <w:sz w:val="24"/>
          <w:szCs w:val="24"/>
        </w:rPr>
        <w:t>índice de crianza</w:t>
      </w:r>
      <w:r w:rsidR="00EF4D5F">
        <w:rPr>
          <w:rFonts w:ascii="Arial" w:hAnsi="Arial" w:cs="Arial"/>
          <w:b/>
          <w:sz w:val="24"/>
          <w:szCs w:val="24"/>
        </w:rPr>
        <w:t>,</w:t>
      </w:r>
      <w:r w:rsidR="008A0616" w:rsidRPr="00CC4795">
        <w:rPr>
          <w:rFonts w:ascii="Arial" w:hAnsi="Arial" w:cs="Arial"/>
          <w:b/>
          <w:sz w:val="24"/>
          <w:szCs w:val="24"/>
        </w:rPr>
        <w:t xml:space="preserve"> </w:t>
      </w:r>
      <w:r w:rsidR="00CC4795">
        <w:rPr>
          <w:rFonts w:ascii="Arial" w:hAnsi="Arial" w:cs="Arial"/>
          <w:b/>
          <w:sz w:val="24"/>
          <w:szCs w:val="24"/>
        </w:rPr>
        <w:t>en un incidente de aumento de cuota</w:t>
      </w:r>
      <w:r w:rsidR="009A0760">
        <w:rPr>
          <w:rFonts w:ascii="Arial" w:hAnsi="Arial" w:cs="Arial"/>
          <w:b/>
          <w:sz w:val="24"/>
          <w:szCs w:val="24"/>
        </w:rPr>
        <w:t xml:space="preserve"> alimentaria</w:t>
      </w:r>
      <w:r w:rsidR="00CC4795">
        <w:rPr>
          <w:rFonts w:ascii="Arial" w:hAnsi="Arial" w:cs="Arial"/>
          <w:b/>
          <w:sz w:val="24"/>
          <w:szCs w:val="24"/>
        </w:rPr>
        <w:t>.</w:t>
      </w:r>
      <w:r w:rsidR="00EF4D5F">
        <w:rPr>
          <w:rFonts w:ascii="Arial" w:hAnsi="Arial" w:cs="Arial"/>
          <w:b/>
          <w:sz w:val="24"/>
          <w:szCs w:val="24"/>
        </w:rPr>
        <w:t xml:space="preserve"> </w:t>
      </w:r>
      <w:r w:rsidR="000F705A" w:rsidRPr="00CC4795">
        <w:rPr>
          <w:rFonts w:ascii="Arial" w:hAnsi="Arial" w:cs="Arial"/>
          <w:sz w:val="24"/>
          <w:szCs w:val="24"/>
        </w:rPr>
        <w:t>"</w:t>
      </w:r>
      <w:r w:rsidR="00BB000C" w:rsidRPr="00CC4795">
        <w:rPr>
          <w:rFonts w:ascii="Arial" w:hAnsi="Arial" w:cs="Arial"/>
          <w:bCs/>
          <w:sz w:val="24"/>
          <w:szCs w:val="24"/>
        </w:rPr>
        <w:t>L. E. B</w:t>
      </w:r>
      <w:r w:rsidR="00BB000C" w:rsidRPr="00CC4795">
        <w:rPr>
          <w:rFonts w:ascii="Arial" w:hAnsi="Arial" w:cs="Arial"/>
          <w:bCs/>
          <w:sz w:val="24"/>
          <w:szCs w:val="24"/>
        </w:rPr>
        <w:t xml:space="preserve"> C/</w:t>
      </w:r>
      <w:r w:rsidR="00BB000C" w:rsidRPr="00CC4795">
        <w:rPr>
          <w:rFonts w:ascii="Arial" w:hAnsi="Arial" w:cs="Arial"/>
          <w:bCs/>
          <w:sz w:val="24"/>
          <w:szCs w:val="24"/>
        </w:rPr>
        <w:t xml:space="preserve"> P. J. I.</w:t>
      </w:r>
      <w:r w:rsidR="00BB000C" w:rsidRPr="00CC4795">
        <w:rPr>
          <w:rFonts w:ascii="Arial" w:hAnsi="Arial" w:cs="Arial"/>
          <w:sz w:val="24"/>
          <w:szCs w:val="24"/>
        </w:rPr>
        <w:t xml:space="preserve"> </w:t>
      </w:r>
      <w:r w:rsidR="00BB000C" w:rsidRPr="00CC4795">
        <w:rPr>
          <w:rFonts w:ascii="Arial" w:hAnsi="Arial" w:cs="Arial"/>
          <w:sz w:val="24"/>
          <w:szCs w:val="24"/>
        </w:rPr>
        <w:t xml:space="preserve"> S/ INCIDENTE DE AUMENTO DE CUOTA ALIMENTARIA”. </w:t>
      </w:r>
      <w:r w:rsidR="00AF416C" w:rsidRPr="00CC4795">
        <w:rPr>
          <w:rFonts w:ascii="Arial" w:hAnsi="Arial" w:cs="Arial"/>
          <w:sz w:val="24"/>
          <w:szCs w:val="24"/>
        </w:rPr>
        <w:t xml:space="preserve">Daireaux, </w:t>
      </w:r>
      <w:r w:rsidR="000F705A" w:rsidRPr="00CC4795">
        <w:rPr>
          <w:rFonts w:ascii="Arial" w:hAnsi="Arial" w:cs="Arial"/>
          <w:sz w:val="24"/>
          <w:szCs w:val="24"/>
        </w:rPr>
        <w:t>Juzgado de Familia</w:t>
      </w:r>
      <w:r w:rsidR="002F4701" w:rsidRPr="00CC4795">
        <w:rPr>
          <w:rFonts w:ascii="Arial" w:hAnsi="Arial" w:cs="Arial"/>
          <w:sz w:val="24"/>
          <w:szCs w:val="24"/>
        </w:rPr>
        <w:t xml:space="preserve"> </w:t>
      </w:r>
      <w:r w:rsidR="002F4701" w:rsidRPr="00CC4795">
        <w:rPr>
          <w:rFonts w:ascii="Arial" w:hAnsi="Arial" w:cs="Arial"/>
          <w:bCs/>
          <w:sz w:val="24"/>
          <w:szCs w:val="24"/>
        </w:rPr>
        <w:t>10/8/23</w:t>
      </w:r>
      <w:r w:rsidR="002F4701" w:rsidRPr="00CC4795">
        <w:rPr>
          <w:rFonts w:ascii="Arial" w:hAnsi="Arial" w:cs="Arial"/>
          <w:sz w:val="24"/>
          <w:szCs w:val="24"/>
        </w:rPr>
        <w:t xml:space="preserve">. </w:t>
      </w:r>
      <w:r w:rsidR="00D9097B" w:rsidRPr="00CC4795">
        <w:rPr>
          <w:rFonts w:ascii="Arial" w:hAnsi="Arial" w:cs="Arial"/>
          <w:sz w:val="24"/>
          <w:szCs w:val="24"/>
        </w:rPr>
        <w:t xml:space="preserve">Juez interviniente, </w:t>
      </w:r>
      <w:r w:rsidR="00D9097B" w:rsidRPr="00CC4795">
        <w:rPr>
          <w:rFonts w:ascii="Arial" w:hAnsi="Arial" w:cs="Arial"/>
          <w:bCs/>
          <w:sz w:val="24"/>
          <w:szCs w:val="24"/>
        </w:rPr>
        <w:t>Javier Pablo Heredia</w:t>
      </w:r>
      <w:r w:rsidR="00D9097B" w:rsidRPr="00CC4795">
        <w:rPr>
          <w:rFonts w:ascii="Arial" w:hAnsi="Arial" w:cs="Arial"/>
          <w:bCs/>
          <w:sz w:val="24"/>
          <w:szCs w:val="24"/>
        </w:rPr>
        <w:t>.</w:t>
      </w:r>
    </w:p>
    <w:p w14:paraId="38BB187C" w14:textId="6880F3B6" w:rsidR="005520C8" w:rsidRPr="00CC4795" w:rsidRDefault="005728AD" w:rsidP="00BB000C">
      <w:pPr>
        <w:spacing w:line="360" w:lineRule="auto"/>
        <w:jc w:val="both"/>
        <w:rPr>
          <w:rFonts w:ascii="Arial" w:hAnsi="Arial" w:cs="Arial"/>
          <w:b/>
          <w:sz w:val="24"/>
          <w:szCs w:val="24"/>
        </w:rPr>
      </w:pPr>
      <w:r w:rsidRPr="00CC4795">
        <w:rPr>
          <w:rFonts w:ascii="Arial" w:hAnsi="Arial" w:cs="Arial"/>
          <w:b/>
          <w:sz w:val="24"/>
          <w:szCs w:val="24"/>
        </w:rPr>
        <w:t xml:space="preserve">I.- </w:t>
      </w:r>
      <w:r w:rsidR="00314EFF" w:rsidRPr="00CC4795">
        <w:rPr>
          <w:rFonts w:ascii="Arial" w:hAnsi="Arial" w:cs="Arial"/>
          <w:b/>
          <w:sz w:val="24"/>
          <w:szCs w:val="24"/>
        </w:rPr>
        <w:t xml:space="preserve">Resumen </w:t>
      </w:r>
      <w:r w:rsidR="003E0D53" w:rsidRPr="00CC4795">
        <w:rPr>
          <w:rFonts w:ascii="Arial" w:hAnsi="Arial" w:cs="Arial"/>
          <w:b/>
          <w:sz w:val="24"/>
          <w:szCs w:val="24"/>
        </w:rPr>
        <w:t xml:space="preserve">de los hechos. </w:t>
      </w:r>
    </w:p>
    <w:p w14:paraId="18B1FD29" w14:textId="39013D9B" w:rsidR="00E82EBC" w:rsidRPr="00CC4795" w:rsidRDefault="00D9097B" w:rsidP="00BB000C">
      <w:pPr>
        <w:spacing w:line="360" w:lineRule="auto"/>
        <w:jc w:val="both"/>
        <w:rPr>
          <w:rFonts w:ascii="Arial" w:hAnsi="Arial" w:cs="Arial"/>
          <w:b/>
          <w:bCs/>
          <w:sz w:val="24"/>
          <w:szCs w:val="24"/>
        </w:rPr>
      </w:pPr>
      <w:r w:rsidRPr="00CC4795">
        <w:rPr>
          <w:rFonts w:ascii="Arial" w:hAnsi="Arial" w:cs="Arial"/>
          <w:bCs/>
          <w:sz w:val="24"/>
          <w:szCs w:val="24"/>
        </w:rPr>
        <w:t>Se presenta</w:t>
      </w:r>
      <w:r w:rsidR="00E82EBC" w:rsidRPr="00CC4795">
        <w:rPr>
          <w:rFonts w:ascii="Arial" w:hAnsi="Arial" w:cs="Arial"/>
          <w:bCs/>
          <w:sz w:val="24"/>
          <w:szCs w:val="24"/>
        </w:rPr>
        <w:t xml:space="preserve"> L. E. B.</w:t>
      </w:r>
      <w:r w:rsidR="00E82EBC" w:rsidRPr="00CC4795">
        <w:rPr>
          <w:rFonts w:ascii="Arial" w:hAnsi="Arial" w:cs="Arial"/>
          <w:sz w:val="24"/>
          <w:szCs w:val="24"/>
        </w:rPr>
        <w:t xml:space="preserve">  con el patrocinio letrado de la </w:t>
      </w:r>
      <w:r w:rsidR="00E82EBC" w:rsidRPr="00CC4795">
        <w:rPr>
          <w:rFonts w:ascii="Arial" w:hAnsi="Arial" w:cs="Arial"/>
          <w:bCs/>
          <w:sz w:val="24"/>
          <w:szCs w:val="24"/>
        </w:rPr>
        <w:t>Dra. M. C.,</w:t>
      </w:r>
      <w:r w:rsidR="00E82EBC" w:rsidRPr="00CC4795">
        <w:rPr>
          <w:rFonts w:ascii="Arial" w:hAnsi="Arial" w:cs="Arial"/>
          <w:sz w:val="24"/>
          <w:szCs w:val="24"/>
        </w:rPr>
        <w:t xml:space="preserve"> promovi</w:t>
      </w:r>
      <w:r w:rsidR="008C5649" w:rsidRPr="00CC4795">
        <w:rPr>
          <w:rFonts w:ascii="Arial" w:hAnsi="Arial" w:cs="Arial"/>
          <w:sz w:val="24"/>
          <w:szCs w:val="24"/>
        </w:rPr>
        <w:t>endo</w:t>
      </w:r>
      <w:r w:rsidR="00E82EBC" w:rsidRPr="00CC4795">
        <w:rPr>
          <w:rFonts w:ascii="Arial" w:hAnsi="Arial" w:cs="Arial"/>
          <w:sz w:val="24"/>
          <w:szCs w:val="24"/>
        </w:rPr>
        <w:t xml:space="preserve"> incidente de aumento de cuota alimentaria.</w:t>
      </w:r>
      <w:r w:rsidR="00A94608" w:rsidRPr="00CC4795">
        <w:rPr>
          <w:rFonts w:ascii="Arial" w:hAnsi="Arial" w:cs="Arial"/>
          <w:sz w:val="24"/>
          <w:szCs w:val="24"/>
        </w:rPr>
        <w:t xml:space="preserve"> </w:t>
      </w:r>
      <w:r w:rsidR="00E82EBC" w:rsidRPr="00CC4795">
        <w:rPr>
          <w:rFonts w:ascii="Arial" w:hAnsi="Arial" w:cs="Arial"/>
          <w:sz w:val="24"/>
          <w:szCs w:val="24"/>
        </w:rPr>
        <w:t>De lo solicitado,</w:t>
      </w:r>
      <w:r w:rsidR="00920E70" w:rsidRPr="00CC4795">
        <w:rPr>
          <w:rFonts w:ascii="Arial" w:hAnsi="Arial" w:cs="Arial"/>
          <w:sz w:val="24"/>
          <w:szCs w:val="24"/>
        </w:rPr>
        <w:t xml:space="preserve"> se corre</w:t>
      </w:r>
      <w:r w:rsidR="00E82EBC" w:rsidRPr="00CC4795">
        <w:rPr>
          <w:rFonts w:ascii="Arial" w:hAnsi="Arial" w:cs="Arial"/>
          <w:sz w:val="24"/>
          <w:szCs w:val="24"/>
        </w:rPr>
        <w:t xml:space="preserve"> traslado al Sr</w:t>
      </w:r>
      <w:r w:rsidR="00E82EBC" w:rsidRPr="00CC4795">
        <w:rPr>
          <w:rFonts w:ascii="Arial" w:hAnsi="Arial" w:cs="Arial"/>
          <w:bCs/>
          <w:sz w:val="24"/>
          <w:szCs w:val="24"/>
        </w:rPr>
        <w:t>.  P. J. I.</w:t>
      </w:r>
      <w:r w:rsidR="00E82EBC" w:rsidRPr="00CC4795">
        <w:rPr>
          <w:rFonts w:ascii="Arial" w:hAnsi="Arial" w:cs="Arial"/>
          <w:sz w:val="24"/>
          <w:szCs w:val="24"/>
        </w:rPr>
        <w:t xml:space="preserve"> por cinco días </w:t>
      </w:r>
      <w:r w:rsidR="007B732C" w:rsidRPr="00CC4795">
        <w:rPr>
          <w:rFonts w:ascii="Arial" w:hAnsi="Arial" w:cs="Arial"/>
          <w:sz w:val="24"/>
          <w:szCs w:val="24"/>
        </w:rPr>
        <w:t>y se ordena notificar</w:t>
      </w:r>
      <w:r w:rsidR="00E82EBC" w:rsidRPr="00CC4795">
        <w:rPr>
          <w:rFonts w:ascii="Arial" w:hAnsi="Arial" w:cs="Arial"/>
          <w:sz w:val="24"/>
          <w:szCs w:val="24"/>
        </w:rPr>
        <w:t xml:space="preserve"> personalmente o por cédula, en el domicilio constituido por el alimentante en las actuaciones principales. Ello toda vez que en los incidentes rige el domicilio constituido en el principal. Ese principio resulta aplicable no sólo a los incidentes propiamente dichos, sino a los juicios incidentales, según lo tiene decidido la mayor parte de la jurisprudencia respecto de las demandas que se promuevan contra la sucesión</w:t>
      </w:r>
      <w:r w:rsidR="002F4701" w:rsidRPr="00CC4795">
        <w:rPr>
          <w:rFonts w:ascii="Arial" w:hAnsi="Arial" w:cs="Arial"/>
          <w:sz w:val="24"/>
          <w:szCs w:val="24"/>
        </w:rPr>
        <w:t>.[1]</w:t>
      </w:r>
      <w:r w:rsidR="00E82EBC" w:rsidRPr="00CC4795">
        <w:rPr>
          <w:rFonts w:ascii="Arial" w:hAnsi="Arial" w:cs="Arial"/>
          <w:sz w:val="24"/>
          <w:szCs w:val="24"/>
        </w:rPr>
        <w:t xml:space="preserve"> De consiguiente, es también aplicable al pedido de aumento de la cuota alimentaria, para el cual la propia ley adjetiva señala el trámite incidental en el proceso en que fue solicitada</w:t>
      </w:r>
      <w:r w:rsidR="002F4701" w:rsidRPr="00CC4795">
        <w:rPr>
          <w:rFonts w:ascii="Arial" w:hAnsi="Arial" w:cs="Arial"/>
          <w:sz w:val="24"/>
          <w:szCs w:val="24"/>
        </w:rPr>
        <w:t>.[2]</w:t>
      </w:r>
      <w:r w:rsidR="00E82EBC" w:rsidRPr="00CC4795">
        <w:rPr>
          <w:rFonts w:ascii="Arial" w:hAnsi="Arial" w:cs="Arial"/>
          <w:b/>
          <w:bCs/>
          <w:sz w:val="24"/>
          <w:szCs w:val="24"/>
        </w:rPr>
        <w:t xml:space="preserve"> </w:t>
      </w:r>
    </w:p>
    <w:p w14:paraId="30FB69B0" w14:textId="79363DCC" w:rsidR="007B732C" w:rsidRPr="00CC4795" w:rsidRDefault="007632F0" w:rsidP="00BB000C">
      <w:pPr>
        <w:spacing w:line="360" w:lineRule="auto"/>
        <w:jc w:val="both"/>
        <w:rPr>
          <w:rFonts w:ascii="Arial" w:hAnsi="Arial" w:cs="Arial"/>
          <w:b/>
          <w:sz w:val="24"/>
          <w:szCs w:val="24"/>
        </w:rPr>
      </w:pPr>
      <w:r w:rsidRPr="00CC4795">
        <w:rPr>
          <w:rFonts w:ascii="Arial" w:hAnsi="Arial" w:cs="Arial"/>
          <w:b/>
          <w:sz w:val="24"/>
          <w:szCs w:val="24"/>
        </w:rPr>
        <w:t xml:space="preserve">II.- </w:t>
      </w:r>
      <w:r w:rsidR="007B732C" w:rsidRPr="00CC4795">
        <w:rPr>
          <w:rFonts w:ascii="Arial" w:hAnsi="Arial" w:cs="Arial"/>
          <w:b/>
          <w:bCs/>
          <w:sz w:val="24"/>
          <w:szCs w:val="24"/>
        </w:rPr>
        <w:t>A</w:t>
      </w:r>
      <w:r w:rsidR="007B732C" w:rsidRPr="00CC4795">
        <w:rPr>
          <w:rFonts w:ascii="Arial" w:hAnsi="Arial" w:cs="Arial"/>
          <w:b/>
          <w:bCs/>
          <w:sz w:val="24"/>
          <w:szCs w:val="24"/>
        </w:rPr>
        <w:t>limentos provisorios como medida cautelar genérica o medida innovativa</w:t>
      </w:r>
    </w:p>
    <w:p w14:paraId="787DD5BE" w14:textId="2B040FBE" w:rsidR="00E82EBC" w:rsidRPr="00CC4795" w:rsidRDefault="00E82EBC" w:rsidP="00BB000C">
      <w:pPr>
        <w:spacing w:line="360" w:lineRule="auto"/>
        <w:jc w:val="both"/>
        <w:rPr>
          <w:rFonts w:ascii="Arial" w:hAnsi="Arial" w:cs="Arial"/>
          <w:b/>
          <w:bCs/>
          <w:sz w:val="24"/>
          <w:szCs w:val="24"/>
        </w:rPr>
      </w:pPr>
      <w:r w:rsidRPr="00CC4795">
        <w:rPr>
          <w:rFonts w:ascii="Arial" w:hAnsi="Arial" w:cs="Arial"/>
          <w:sz w:val="24"/>
          <w:szCs w:val="24"/>
        </w:rPr>
        <w:t xml:space="preserve">Que la parte actora peticiona en estos obrados la fijación de una cuota alimentaria provisoria, pese a encontrarse fijada judicialmente </w:t>
      </w:r>
      <w:r w:rsidRPr="00CC4795">
        <w:rPr>
          <w:rFonts w:ascii="Arial" w:hAnsi="Arial" w:cs="Arial"/>
          <w:b/>
          <w:bCs/>
          <w:sz w:val="24"/>
          <w:szCs w:val="24"/>
        </w:rPr>
        <w:t>una cuota alimentaria en el proceso principal.</w:t>
      </w:r>
    </w:p>
    <w:p w14:paraId="23955CB5" w14:textId="5DB2CA32" w:rsidR="00840932" w:rsidRPr="00CC4795" w:rsidRDefault="00840932" w:rsidP="00BB000C">
      <w:pPr>
        <w:spacing w:line="360" w:lineRule="auto"/>
        <w:jc w:val="both"/>
        <w:rPr>
          <w:rFonts w:ascii="Arial" w:hAnsi="Arial" w:cs="Arial"/>
          <w:b/>
          <w:bCs/>
          <w:sz w:val="24"/>
          <w:szCs w:val="24"/>
        </w:rPr>
      </w:pPr>
      <w:r w:rsidRPr="00CC4795">
        <w:rPr>
          <w:rFonts w:ascii="Arial" w:hAnsi="Arial" w:cs="Arial"/>
          <w:sz w:val="24"/>
          <w:szCs w:val="24"/>
        </w:rPr>
        <w:t xml:space="preserve">Al respecto tiene dicho la Cámara de Apelaciones Departamental en autos </w:t>
      </w:r>
      <w:r w:rsidRPr="00CC4795">
        <w:rPr>
          <w:rFonts w:ascii="Arial" w:hAnsi="Arial" w:cs="Arial"/>
          <w:b/>
          <w:bCs/>
          <w:sz w:val="24"/>
          <w:szCs w:val="24"/>
        </w:rPr>
        <w:t>"RODRIGUEZ, Rosana Silvia c/FRIAS, Carlos David S/ INCIDENTE DE AUMENTO DE CUOTA ALIMENTARIA" (</w:t>
      </w:r>
      <w:proofErr w:type="spellStart"/>
      <w:r w:rsidRPr="00CC4795">
        <w:rPr>
          <w:rFonts w:ascii="Arial" w:hAnsi="Arial" w:cs="Arial"/>
          <w:b/>
          <w:bCs/>
          <w:sz w:val="24"/>
          <w:szCs w:val="24"/>
        </w:rPr>
        <w:t>expte</w:t>
      </w:r>
      <w:proofErr w:type="spellEnd"/>
      <w:r w:rsidRPr="00CC4795">
        <w:rPr>
          <w:rFonts w:ascii="Arial" w:hAnsi="Arial" w:cs="Arial"/>
          <w:b/>
          <w:bCs/>
          <w:sz w:val="24"/>
          <w:szCs w:val="24"/>
        </w:rPr>
        <w:t>. nro. -88682-), del 20/08/2013</w:t>
      </w:r>
      <w:r w:rsidRPr="00CC4795">
        <w:rPr>
          <w:rFonts w:ascii="Arial" w:hAnsi="Arial" w:cs="Arial"/>
          <w:sz w:val="24"/>
          <w:szCs w:val="24"/>
        </w:rPr>
        <w:t xml:space="preserve">, que "...En principio cabe señalar que la sola vigencia de una cuota alimentaria -pactada o fijada judicialmente- no impide la fijación de una cuota mayor provisoria en el seno de un incidente de aumento de cuota, mientras que existan elementos de juicio que permitan justificar -cuanto menos prima facie- la probabilidad de la procedencia de esa cuota mayor </w:t>
      </w:r>
      <w:r w:rsidR="002F4701" w:rsidRPr="00CC4795">
        <w:rPr>
          <w:rFonts w:ascii="Arial" w:hAnsi="Arial" w:cs="Arial"/>
          <w:sz w:val="24"/>
          <w:szCs w:val="24"/>
        </w:rPr>
        <w:t xml:space="preserve">[3] </w:t>
      </w:r>
    </w:p>
    <w:p w14:paraId="1CEC84D5" w14:textId="66BAC78D" w:rsidR="00840932" w:rsidRPr="00CC4795" w:rsidRDefault="00840932" w:rsidP="00BB000C">
      <w:pPr>
        <w:spacing w:line="360" w:lineRule="auto"/>
        <w:jc w:val="both"/>
        <w:rPr>
          <w:rFonts w:ascii="Arial" w:hAnsi="Arial" w:cs="Arial"/>
          <w:b/>
          <w:bCs/>
          <w:sz w:val="24"/>
          <w:szCs w:val="24"/>
        </w:rPr>
      </w:pPr>
      <w:r w:rsidRPr="00CC4795">
        <w:rPr>
          <w:rFonts w:ascii="Arial" w:hAnsi="Arial" w:cs="Arial"/>
          <w:sz w:val="24"/>
          <w:szCs w:val="24"/>
        </w:rPr>
        <w:t xml:space="preserve">También ha dicho la doctrina, que en efecto, en el incidente de aumento de cuota alimentara se podrán solicitar alimentos provisorios como medida cautelar genérica o medida innovativa, que consistirán en una cuota alimentaria mayor a la que resulta de la sentencia o del convenio homologado, pues nada impide, si se acreditaren los presupuestos de admisibilidad (verosimilitud del derecho y peligro en la demora), otorgar </w:t>
      </w:r>
      <w:r w:rsidRPr="00CC4795">
        <w:rPr>
          <w:rFonts w:ascii="Arial" w:hAnsi="Arial" w:cs="Arial"/>
          <w:sz w:val="24"/>
          <w:szCs w:val="24"/>
        </w:rPr>
        <w:lastRenderedPageBreak/>
        <w:t>un derecho mayor, ya que si la sentencia hace lugar al aumento de dicho cuota, tiene efectos retroactivos a la notificación de la demanda</w:t>
      </w:r>
      <w:r w:rsidR="002F4701" w:rsidRPr="00CC4795">
        <w:rPr>
          <w:rFonts w:ascii="Arial" w:hAnsi="Arial" w:cs="Arial"/>
          <w:sz w:val="24"/>
          <w:szCs w:val="24"/>
        </w:rPr>
        <w:t>.[4]</w:t>
      </w:r>
      <w:r w:rsidRPr="00CC4795">
        <w:rPr>
          <w:rFonts w:ascii="Arial" w:hAnsi="Arial" w:cs="Arial"/>
          <w:sz w:val="24"/>
          <w:szCs w:val="24"/>
        </w:rPr>
        <w:t xml:space="preserve"> </w:t>
      </w:r>
    </w:p>
    <w:p w14:paraId="34BD7A55" w14:textId="1184E355" w:rsidR="00840932" w:rsidRPr="00CC4795" w:rsidRDefault="00840932" w:rsidP="00BB000C">
      <w:pPr>
        <w:spacing w:line="360" w:lineRule="auto"/>
        <w:jc w:val="both"/>
        <w:rPr>
          <w:rFonts w:ascii="Arial" w:hAnsi="Arial" w:cs="Arial"/>
          <w:sz w:val="24"/>
          <w:szCs w:val="24"/>
        </w:rPr>
      </w:pPr>
      <w:r w:rsidRPr="00CC4795">
        <w:rPr>
          <w:rFonts w:ascii="Arial" w:hAnsi="Arial" w:cs="Arial"/>
          <w:sz w:val="24"/>
          <w:szCs w:val="24"/>
        </w:rPr>
        <w:t>Que debe ponderarse para ello la edad de la niña por quien se reclama alimentos, la que de por sí es demostrativa "per se" de que "no les es posible adquirirlos con su trabajo", además de no existir motivo para presumir que posean medios para alimentarse (Art. 545 C. Civil y Comercial).</w:t>
      </w:r>
    </w:p>
    <w:p w14:paraId="5E0F1519" w14:textId="62F1269C" w:rsidR="007B732C" w:rsidRPr="00CC4795" w:rsidRDefault="007B732C" w:rsidP="00BB000C">
      <w:pPr>
        <w:spacing w:line="360" w:lineRule="auto"/>
        <w:jc w:val="both"/>
        <w:rPr>
          <w:rFonts w:ascii="Arial" w:hAnsi="Arial" w:cs="Arial"/>
          <w:b/>
          <w:bCs/>
          <w:sz w:val="24"/>
          <w:szCs w:val="24"/>
        </w:rPr>
      </w:pPr>
      <w:r w:rsidRPr="00CC4795">
        <w:rPr>
          <w:rFonts w:ascii="Arial" w:hAnsi="Arial" w:cs="Arial"/>
          <w:b/>
          <w:bCs/>
          <w:sz w:val="24"/>
          <w:szCs w:val="24"/>
        </w:rPr>
        <w:t>III.- C</w:t>
      </w:r>
      <w:r w:rsidRPr="00CC4795">
        <w:rPr>
          <w:rFonts w:ascii="Arial" w:hAnsi="Arial" w:cs="Arial"/>
          <w:b/>
          <w:bCs/>
          <w:sz w:val="24"/>
          <w:szCs w:val="24"/>
        </w:rPr>
        <w:t xml:space="preserve">osto de vida </w:t>
      </w:r>
      <w:r w:rsidRPr="00CC4795">
        <w:rPr>
          <w:rFonts w:ascii="Arial" w:hAnsi="Arial" w:cs="Arial"/>
          <w:b/>
          <w:bCs/>
          <w:sz w:val="24"/>
          <w:szCs w:val="24"/>
        </w:rPr>
        <w:t>y tareas de cuidado</w:t>
      </w:r>
    </w:p>
    <w:p w14:paraId="0CA1DD56" w14:textId="77777777" w:rsidR="007B732C" w:rsidRPr="00CC4795" w:rsidRDefault="00840932" w:rsidP="00BB000C">
      <w:pPr>
        <w:spacing w:line="360" w:lineRule="auto"/>
        <w:jc w:val="both"/>
        <w:rPr>
          <w:rFonts w:ascii="Arial" w:hAnsi="Arial" w:cs="Arial"/>
          <w:sz w:val="24"/>
          <w:szCs w:val="24"/>
        </w:rPr>
      </w:pPr>
      <w:r w:rsidRPr="00CC4795">
        <w:rPr>
          <w:rFonts w:ascii="Arial" w:hAnsi="Arial" w:cs="Arial"/>
          <w:sz w:val="24"/>
          <w:szCs w:val="24"/>
        </w:rPr>
        <w:t xml:space="preserve">Que a ello debe adunarse el aumento del costo de vida producto del proceso inflacionario producido en </w:t>
      </w:r>
      <w:r w:rsidR="00920E70" w:rsidRPr="00CC4795">
        <w:rPr>
          <w:rFonts w:ascii="Arial" w:hAnsi="Arial" w:cs="Arial"/>
          <w:sz w:val="24"/>
          <w:szCs w:val="24"/>
        </w:rPr>
        <w:t>nuestro país</w:t>
      </w:r>
      <w:r w:rsidRPr="00CC4795">
        <w:rPr>
          <w:rFonts w:ascii="Arial" w:hAnsi="Arial" w:cs="Arial"/>
          <w:sz w:val="24"/>
          <w:szCs w:val="24"/>
        </w:rPr>
        <w:t xml:space="preserve">, desde la fecha en que se acordaron los alimentos en el proceso principal, lo cual constituye un hecho de </w:t>
      </w:r>
      <w:r w:rsidRPr="00CC4795">
        <w:rPr>
          <w:rFonts w:ascii="Arial" w:hAnsi="Arial" w:cs="Arial"/>
          <w:b/>
          <w:bCs/>
          <w:sz w:val="24"/>
          <w:szCs w:val="24"/>
        </w:rPr>
        <w:t>público y notorio</w:t>
      </w:r>
      <w:r w:rsidRPr="00CC4795">
        <w:rPr>
          <w:rFonts w:ascii="Arial" w:hAnsi="Arial" w:cs="Arial"/>
          <w:sz w:val="24"/>
          <w:szCs w:val="24"/>
        </w:rPr>
        <w:t xml:space="preserve"> conocimiento. </w:t>
      </w:r>
    </w:p>
    <w:p w14:paraId="05F90EB6" w14:textId="73E751B3" w:rsidR="00C93067" w:rsidRPr="00CC4795" w:rsidRDefault="00C93067" w:rsidP="00BB000C">
      <w:pPr>
        <w:spacing w:line="360" w:lineRule="auto"/>
        <w:jc w:val="both"/>
        <w:rPr>
          <w:rFonts w:ascii="Arial" w:hAnsi="Arial" w:cs="Arial"/>
          <w:sz w:val="24"/>
          <w:szCs w:val="24"/>
        </w:rPr>
      </w:pPr>
      <w:r w:rsidRPr="00CC4795">
        <w:rPr>
          <w:rFonts w:ascii="Arial" w:hAnsi="Arial" w:cs="Arial"/>
          <w:sz w:val="24"/>
          <w:szCs w:val="24"/>
        </w:rPr>
        <w:t>Asimismo, en materia cautelar se ha dicho jurisprudencialmente que "...Una de las posibilidades que ofrece el derecho ritual es que la respuesta no llegue justamente en la sentencia que pone fin al litigio, sino en etapas anteriores. La CSJN tiene dicho recientemente que una moderna concepción del proceso exige poner el acento en el valor “eficacia” de la función jurisdiccional y en el carácter instrumental de las normas procesales, en el sentido de que su finalidad radica en hacer efectivos los derechos sustanciales cuya protección se requiere, y en ese marco de actuación las medidas de tutela anticipatoria se presentan como una de las vías aptas, durante el juicio, para asegurar el adecuado servicio de justicia y evitar el riesgo de una sentencia favorable pero ineficaz por tardía...."</w:t>
      </w:r>
      <w:r w:rsidR="002F4701" w:rsidRPr="00CC4795">
        <w:rPr>
          <w:rFonts w:ascii="Arial" w:hAnsi="Arial" w:cs="Arial"/>
          <w:sz w:val="24"/>
          <w:szCs w:val="24"/>
        </w:rPr>
        <w:t>[5]</w:t>
      </w:r>
      <w:r w:rsidRPr="00CC4795">
        <w:rPr>
          <w:rFonts w:ascii="Arial" w:hAnsi="Arial" w:cs="Arial"/>
          <w:sz w:val="24"/>
          <w:szCs w:val="24"/>
        </w:rPr>
        <w:t xml:space="preserve"> </w:t>
      </w:r>
      <w:r w:rsidR="007632F0" w:rsidRPr="00CC4795">
        <w:rPr>
          <w:rFonts w:ascii="Arial" w:hAnsi="Arial" w:cs="Arial"/>
          <w:b/>
          <w:bCs/>
          <w:sz w:val="24"/>
          <w:szCs w:val="24"/>
        </w:rPr>
        <w:t xml:space="preserve">, </w:t>
      </w:r>
      <w:r w:rsidRPr="00CC4795">
        <w:rPr>
          <w:rFonts w:ascii="Arial" w:hAnsi="Arial" w:cs="Arial"/>
          <w:sz w:val="24"/>
          <w:szCs w:val="24"/>
        </w:rPr>
        <w:t xml:space="preserve">máxime </w:t>
      </w:r>
      <w:r w:rsidR="00BB000C" w:rsidRPr="00CC4795">
        <w:rPr>
          <w:rFonts w:ascii="Arial" w:hAnsi="Arial" w:cs="Arial"/>
          <w:sz w:val="24"/>
          <w:szCs w:val="24"/>
        </w:rPr>
        <w:t>cuando se</w:t>
      </w:r>
      <w:r w:rsidRPr="00CC4795">
        <w:rPr>
          <w:rFonts w:ascii="Arial" w:hAnsi="Arial" w:cs="Arial"/>
          <w:sz w:val="24"/>
          <w:szCs w:val="24"/>
        </w:rPr>
        <w:t xml:space="preserve"> encuentran en juego, ni más ni menos, que los intereses de un Niño, Niña o Adolescente </w:t>
      </w:r>
      <w:r w:rsidRPr="00CC4795">
        <w:rPr>
          <w:rFonts w:ascii="Arial" w:hAnsi="Arial" w:cs="Arial"/>
          <w:b/>
          <w:bCs/>
          <w:sz w:val="24"/>
          <w:szCs w:val="24"/>
        </w:rPr>
        <w:t>(Art. 3.1, 12 de la CDN, 3, 24 y 27 Ley 26.061).</w:t>
      </w:r>
    </w:p>
    <w:p w14:paraId="6B0DBA0B" w14:textId="16E23F97" w:rsidR="00C93067" w:rsidRPr="00CC4795" w:rsidRDefault="00C93067" w:rsidP="00BB000C">
      <w:pPr>
        <w:spacing w:line="360" w:lineRule="auto"/>
        <w:jc w:val="both"/>
        <w:rPr>
          <w:rFonts w:ascii="Arial" w:hAnsi="Arial" w:cs="Arial"/>
          <w:sz w:val="24"/>
          <w:szCs w:val="24"/>
        </w:rPr>
      </w:pPr>
      <w:r w:rsidRPr="00CC4795">
        <w:rPr>
          <w:rFonts w:ascii="Arial" w:hAnsi="Arial" w:cs="Arial"/>
          <w:sz w:val="24"/>
          <w:szCs w:val="24"/>
        </w:rPr>
        <w:t>Además, debe ponderarse la documentación adjuntada al escrito de inicio.</w:t>
      </w:r>
      <w:r w:rsidR="00A94608" w:rsidRPr="00CC4795">
        <w:rPr>
          <w:rFonts w:ascii="Arial" w:hAnsi="Arial" w:cs="Arial"/>
          <w:sz w:val="24"/>
          <w:szCs w:val="24"/>
        </w:rPr>
        <w:t xml:space="preserve"> </w:t>
      </w:r>
      <w:r w:rsidRPr="00CC4795">
        <w:rPr>
          <w:rFonts w:ascii="Arial" w:hAnsi="Arial" w:cs="Arial"/>
          <w:sz w:val="24"/>
          <w:szCs w:val="24"/>
        </w:rPr>
        <w:t xml:space="preserve">Que </w:t>
      </w:r>
      <w:r w:rsidRPr="00CC4795">
        <w:rPr>
          <w:rFonts w:ascii="Arial" w:hAnsi="Arial" w:cs="Arial"/>
          <w:b/>
          <w:bCs/>
          <w:sz w:val="24"/>
          <w:szCs w:val="24"/>
        </w:rPr>
        <w:t>la actora manifiesta que es quien detenta el Cuidado Personal de la niña</w:t>
      </w:r>
      <w:r w:rsidRPr="00CC4795">
        <w:rPr>
          <w:rFonts w:ascii="Arial" w:hAnsi="Arial" w:cs="Arial"/>
          <w:sz w:val="24"/>
          <w:szCs w:val="24"/>
        </w:rPr>
        <w:t xml:space="preserve"> y que la misma no tiene contacto con el demandado. Tal circunstancia ha sido merituada en la sentencia de fecha 5/03/2000 en las actuaciones.</w:t>
      </w:r>
    </w:p>
    <w:p w14:paraId="08A71822" w14:textId="77777777" w:rsidR="00C93067" w:rsidRPr="00CC4795" w:rsidRDefault="00C93067" w:rsidP="00BB000C">
      <w:pPr>
        <w:spacing w:line="360" w:lineRule="auto"/>
        <w:jc w:val="both"/>
        <w:rPr>
          <w:rFonts w:ascii="Arial" w:hAnsi="Arial" w:cs="Arial"/>
          <w:sz w:val="24"/>
          <w:szCs w:val="24"/>
        </w:rPr>
      </w:pPr>
      <w:r w:rsidRPr="00CC4795">
        <w:rPr>
          <w:rFonts w:ascii="Arial" w:hAnsi="Arial" w:cs="Arial"/>
          <w:sz w:val="24"/>
          <w:szCs w:val="24"/>
        </w:rPr>
        <w:t>Esta situación lamentablemente muy frecuente ha sido expresamente receptada por el Art. 660 del C.C y C, dándole a los cuidados una entidad económica que debe tenerse en cuenta al momento de resolver.</w:t>
      </w:r>
    </w:p>
    <w:p w14:paraId="0D5585A1" w14:textId="661BEA26" w:rsidR="00C93067" w:rsidRPr="00CC4795" w:rsidRDefault="00C93067" w:rsidP="00BB000C">
      <w:pPr>
        <w:spacing w:line="360" w:lineRule="auto"/>
        <w:jc w:val="both"/>
        <w:rPr>
          <w:rFonts w:ascii="Arial" w:hAnsi="Arial" w:cs="Arial"/>
          <w:sz w:val="24"/>
          <w:szCs w:val="24"/>
        </w:rPr>
      </w:pPr>
      <w:r w:rsidRPr="00CC4795">
        <w:rPr>
          <w:rFonts w:ascii="Arial" w:hAnsi="Arial" w:cs="Arial"/>
          <w:sz w:val="24"/>
          <w:szCs w:val="24"/>
        </w:rPr>
        <w:lastRenderedPageBreak/>
        <w:t>Efectivamente, dar cabal cumplimiento a las funciones de atención, supervisión, desarrollo y dirección de la vida cotidiana en los hijos</w:t>
      </w:r>
      <w:r w:rsidR="00CC4795" w:rsidRPr="00CC4795">
        <w:rPr>
          <w:rFonts w:ascii="Arial" w:hAnsi="Arial" w:cs="Arial"/>
          <w:sz w:val="24"/>
          <w:szCs w:val="24"/>
        </w:rPr>
        <w:t>/as</w:t>
      </w:r>
      <w:r w:rsidRPr="00CC4795">
        <w:rPr>
          <w:rFonts w:ascii="Arial" w:hAnsi="Arial" w:cs="Arial"/>
          <w:sz w:val="24"/>
          <w:szCs w:val="24"/>
        </w:rPr>
        <w:t xml:space="preserve"> implica un esfuerzo físico y mental imprescindible, y tal vez deseado. Pero </w:t>
      </w:r>
      <w:r w:rsidRPr="00CC4795">
        <w:rPr>
          <w:rFonts w:ascii="Arial" w:hAnsi="Arial" w:cs="Arial"/>
          <w:b/>
          <w:bCs/>
          <w:sz w:val="24"/>
          <w:szCs w:val="24"/>
        </w:rPr>
        <w:t>objetivamente insume una cantidad de tiempo real</w:t>
      </w:r>
      <w:r w:rsidRPr="00CC4795">
        <w:rPr>
          <w:rFonts w:ascii="Arial" w:hAnsi="Arial" w:cs="Arial"/>
          <w:sz w:val="24"/>
          <w:szCs w:val="24"/>
        </w:rPr>
        <w:t xml:space="preserve"> </w:t>
      </w:r>
      <w:r w:rsidRPr="00CC4795">
        <w:rPr>
          <w:rFonts w:ascii="Arial" w:hAnsi="Arial" w:cs="Arial"/>
          <w:b/>
          <w:bCs/>
          <w:sz w:val="24"/>
          <w:szCs w:val="24"/>
        </w:rPr>
        <w:t>que se traduce en valor económico</w:t>
      </w:r>
      <w:r w:rsidRPr="00CC4795">
        <w:rPr>
          <w:rFonts w:ascii="Arial" w:hAnsi="Arial" w:cs="Arial"/>
          <w:sz w:val="24"/>
          <w:szCs w:val="24"/>
        </w:rPr>
        <w:t>, ya que el tiempo, en una sociedad compleja como la contemporánea, es una de las variables de mayor, sino exclusivo, contenido económico.</w:t>
      </w:r>
      <w:r w:rsidR="007632F0" w:rsidRPr="00CC4795">
        <w:rPr>
          <w:rFonts w:ascii="Arial" w:hAnsi="Arial" w:cs="Arial"/>
          <w:sz w:val="24"/>
          <w:szCs w:val="24"/>
        </w:rPr>
        <w:t xml:space="preserve">[6] </w:t>
      </w:r>
    </w:p>
    <w:p w14:paraId="366DEAF9" w14:textId="0F490C13" w:rsidR="007B732C" w:rsidRPr="00CC4795" w:rsidRDefault="007B732C" w:rsidP="00BB000C">
      <w:pPr>
        <w:spacing w:line="360" w:lineRule="auto"/>
        <w:jc w:val="both"/>
        <w:rPr>
          <w:rFonts w:ascii="Arial" w:hAnsi="Arial" w:cs="Arial"/>
          <w:b/>
          <w:bCs/>
          <w:sz w:val="24"/>
          <w:szCs w:val="24"/>
        </w:rPr>
      </w:pPr>
      <w:r w:rsidRPr="00CC4795">
        <w:rPr>
          <w:rFonts w:ascii="Arial" w:hAnsi="Arial" w:cs="Arial"/>
          <w:b/>
          <w:bCs/>
          <w:sz w:val="24"/>
          <w:szCs w:val="24"/>
        </w:rPr>
        <w:t>IV.- Índice de Crianza</w:t>
      </w:r>
    </w:p>
    <w:p w14:paraId="2F8E27EE" w14:textId="3F2D653F" w:rsidR="00C93067" w:rsidRPr="00CC4795" w:rsidRDefault="00C93067" w:rsidP="00BB000C">
      <w:pPr>
        <w:spacing w:line="360" w:lineRule="auto"/>
        <w:jc w:val="both"/>
        <w:rPr>
          <w:rFonts w:ascii="Arial" w:hAnsi="Arial" w:cs="Arial"/>
          <w:sz w:val="24"/>
          <w:szCs w:val="24"/>
        </w:rPr>
      </w:pPr>
      <w:r w:rsidRPr="00CC4795">
        <w:rPr>
          <w:rFonts w:ascii="Arial" w:hAnsi="Arial" w:cs="Arial"/>
          <w:sz w:val="24"/>
          <w:szCs w:val="24"/>
        </w:rPr>
        <w:t xml:space="preserve">El 7 de Julio de 2023 se hizo público por primera vez el informe del INDEC conteniendo la valoración de la </w:t>
      </w:r>
      <w:r w:rsidRPr="00CC4795">
        <w:rPr>
          <w:rFonts w:ascii="Arial" w:hAnsi="Arial" w:cs="Arial"/>
          <w:b/>
          <w:bCs/>
          <w:sz w:val="24"/>
          <w:szCs w:val="24"/>
        </w:rPr>
        <w:t>canasta de crianza</w:t>
      </w:r>
      <w:r w:rsidRPr="00CC4795">
        <w:rPr>
          <w:rFonts w:ascii="Arial" w:hAnsi="Arial" w:cs="Arial"/>
          <w:sz w:val="24"/>
          <w:szCs w:val="24"/>
        </w:rPr>
        <w:t xml:space="preserve"> de la primera infancia, la niñez y la adolescencia, de acuerdo con los lineamientos del documento “Costo de consumos y cuidados de la primera infancia, la niñez y la adolescencia.</w:t>
      </w:r>
      <w:r w:rsidR="00CC4795" w:rsidRPr="00CC4795">
        <w:rPr>
          <w:rFonts w:ascii="Arial" w:hAnsi="Arial" w:cs="Arial"/>
          <w:sz w:val="24"/>
          <w:szCs w:val="24"/>
        </w:rPr>
        <w:t xml:space="preserve"> </w:t>
      </w:r>
      <w:r w:rsidRPr="00CC4795">
        <w:rPr>
          <w:rFonts w:ascii="Arial" w:hAnsi="Arial" w:cs="Arial"/>
          <w:sz w:val="24"/>
          <w:szCs w:val="24"/>
        </w:rPr>
        <w:t>Una aproximación metodológica” de la Dirección nacional de Economía, Igualdad y Género del Ministerio de Economía de la Nación.</w:t>
      </w:r>
    </w:p>
    <w:p w14:paraId="2BE3779A" w14:textId="77777777" w:rsidR="00C93067" w:rsidRPr="00CC4795" w:rsidRDefault="00C93067" w:rsidP="00BB000C">
      <w:pPr>
        <w:spacing w:line="360" w:lineRule="auto"/>
        <w:jc w:val="both"/>
        <w:rPr>
          <w:rFonts w:ascii="Arial" w:hAnsi="Arial" w:cs="Arial"/>
          <w:sz w:val="24"/>
          <w:szCs w:val="24"/>
        </w:rPr>
      </w:pPr>
      <w:r w:rsidRPr="00CC4795">
        <w:rPr>
          <w:rFonts w:ascii="Arial" w:hAnsi="Arial" w:cs="Arial"/>
          <w:sz w:val="24"/>
          <w:szCs w:val="24"/>
        </w:rPr>
        <w:t>La canasta incluye tanto el costo mensual para adquirir los bienes y servicios para el desarrollo de infantes, niñas, niños y adolescent4es, así como el costo de cuidado que surge a partir de la valoración del tiempo requerido para dicha actividad.</w:t>
      </w:r>
    </w:p>
    <w:p w14:paraId="6614F65F" w14:textId="05FB2364" w:rsidR="00C93067" w:rsidRPr="00CC4795" w:rsidRDefault="00C93067" w:rsidP="00BB000C">
      <w:pPr>
        <w:spacing w:line="360" w:lineRule="auto"/>
        <w:jc w:val="both"/>
        <w:rPr>
          <w:rFonts w:ascii="Arial" w:hAnsi="Arial" w:cs="Arial"/>
          <w:sz w:val="24"/>
          <w:szCs w:val="24"/>
        </w:rPr>
      </w:pPr>
      <w:r w:rsidRPr="00CC4795">
        <w:rPr>
          <w:rFonts w:ascii="Arial" w:hAnsi="Arial" w:cs="Arial"/>
          <w:sz w:val="24"/>
          <w:szCs w:val="24"/>
        </w:rPr>
        <w:t xml:space="preserve">Según el propio informe, se toma en cuenta para el cálculo de los bienes y servicios la Canasta Básica Total del Gran Buenos Aires para la medición de la pobreza. Para el costo del cuidado parte de dos aspectos: El tiempo teórico requerido para cada uno de los tramos de la edad y a su vez toma como referencia el costo en horas de las remuneraciones previstas para los trabajadores de casas particulares. </w:t>
      </w:r>
    </w:p>
    <w:p w14:paraId="4D3C953E" w14:textId="4AA6A293" w:rsidR="00C93067" w:rsidRPr="00CC4795" w:rsidRDefault="00C93067" w:rsidP="00BB000C">
      <w:pPr>
        <w:spacing w:line="360" w:lineRule="auto"/>
        <w:jc w:val="both"/>
        <w:rPr>
          <w:rFonts w:ascii="Arial" w:hAnsi="Arial" w:cs="Arial"/>
          <w:b/>
          <w:bCs/>
          <w:sz w:val="24"/>
          <w:szCs w:val="24"/>
        </w:rPr>
      </w:pPr>
      <w:r w:rsidRPr="00CC4795">
        <w:rPr>
          <w:rFonts w:ascii="Arial" w:hAnsi="Arial" w:cs="Arial"/>
          <w:sz w:val="24"/>
          <w:szCs w:val="24"/>
        </w:rPr>
        <w:t xml:space="preserve">En el presente supuesto nos encontramos con </w:t>
      </w:r>
      <w:r w:rsidR="00BB000C" w:rsidRPr="00CC4795">
        <w:rPr>
          <w:rFonts w:ascii="Arial" w:hAnsi="Arial" w:cs="Arial"/>
          <w:sz w:val="24"/>
          <w:szCs w:val="24"/>
        </w:rPr>
        <w:t>que O.</w:t>
      </w:r>
      <w:r w:rsidRPr="00CC4795">
        <w:rPr>
          <w:rFonts w:ascii="Arial" w:hAnsi="Arial" w:cs="Arial"/>
          <w:sz w:val="24"/>
          <w:szCs w:val="24"/>
        </w:rPr>
        <w:t xml:space="preserve"> cuenta con 9 </w:t>
      </w:r>
      <w:r w:rsidR="00CC4795" w:rsidRPr="00CC4795">
        <w:rPr>
          <w:rFonts w:ascii="Arial" w:hAnsi="Arial" w:cs="Arial"/>
          <w:sz w:val="24"/>
          <w:szCs w:val="24"/>
        </w:rPr>
        <w:t>años</w:t>
      </w:r>
      <w:r w:rsidRPr="00CC4795">
        <w:rPr>
          <w:rFonts w:ascii="Arial" w:hAnsi="Arial" w:cs="Arial"/>
          <w:sz w:val="24"/>
          <w:szCs w:val="24"/>
        </w:rPr>
        <w:t>, siendo en consecuencia aplicables a ella lo estimado para la fran</w:t>
      </w:r>
      <w:r w:rsidR="00BB000C" w:rsidRPr="00CC4795">
        <w:rPr>
          <w:rFonts w:ascii="Arial" w:hAnsi="Arial" w:cs="Arial"/>
          <w:sz w:val="24"/>
          <w:szCs w:val="24"/>
        </w:rPr>
        <w:t>j</w:t>
      </w:r>
      <w:r w:rsidRPr="00CC4795">
        <w:rPr>
          <w:rFonts w:ascii="Arial" w:hAnsi="Arial" w:cs="Arial"/>
          <w:sz w:val="24"/>
          <w:szCs w:val="24"/>
        </w:rPr>
        <w:t>a de niños</w:t>
      </w:r>
      <w:r w:rsidR="007632F0" w:rsidRPr="00CC4795">
        <w:rPr>
          <w:rFonts w:ascii="Arial" w:hAnsi="Arial" w:cs="Arial"/>
          <w:sz w:val="24"/>
          <w:szCs w:val="24"/>
        </w:rPr>
        <w:t>/as</w:t>
      </w:r>
      <w:r w:rsidRPr="00CC4795">
        <w:rPr>
          <w:rFonts w:ascii="Arial" w:hAnsi="Arial" w:cs="Arial"/>
          <w:sz w:val="24"/>
          <w:szCs w:val="24"/>
        </w:rPr>
        <w:t xml:space="preserve"> de </w:t>
      </w:r>
      <w:r w:rsidRPr="00CC4795">
        <w:rPr>
          <w:rFonts w:ascii="Arial" w:hAnsi="Arial" w:cs="Arial"/>
          <w:b/>
          <w:bCs/>
          <w:sz w:val="24"/>
          <w:szCs w:val="24"/>
        </w:rPr>
        <w:t>6 a 12 años</w:t>
      </w:r>
      <w:r w:rsidRPr="00CC4795">
        <w:rPr>
          <w:rFonts w:ascii="Arial" w:hAnsi="Arial" w:cs="Arial"/>
          <w:sz w:val="24"/>
          <w:szCs w:val="24"/>
        </w:rPr>
        <w:t xml:space="preserve">, estipulado en la </w:t>
      </w:r>
      <w:r w:rsidRPr="00CC4795">
        <w:rPr>
          <w:rFonts w:ascii="Arial" w:hAnsi="Arial" w:cs="Arial"/>
          <w:b/>
          <w:bCs/>
          <w:sz w:val="24"/>
          <w:szCs w:val="24"/>
        </w:rPr>
        <w:t>suma de $105.817</w:t>
      </w:r>
      <w:r w:rsidRPr="00CC4795">
        <w:rPr>
          <w:rFonts w:ascii="Arial" w:hAnsi="Arial" w:cs="Arial"/>
          <w:sz w:val="24"/>
          <w:szCs w:val="24"/>
        </w:rPr>
        <w:t xml:space="preserve"> </w:t>
      </w:r>
      <w:r w:rsidR="007632F0" w:rsidRPr="00CC4795">
        <w:rPr>
          <w:rFonts w:ascii="Arial" w:hAnsi="Arial" w:cs="Arial"/>
          <w:sz w:val="24"/>
          <w:szCs w:val="24"/>
        </w:rPr>
        <w:t xml:space="preserve">[7] </w:t>
      </w:r>
    </w:p>
    <w:p w14:paraId="4D059942" w14:textId="235AD96C" w:rsidR="002F4701" w:rsidRPr="00CC4795" w:rsidRDefault="007B732C" w:rsidP="00BB000C">
      <w:pPr>
        <w:spacing w:line="360" w:lineRule="auto"/>
        <w:jc w:val="both"/>
        <w:rPr>
          <w:rFonts w:ascii="Arial" w:hAnsi="Arial" w:cs="Arial"/>
          <w:sz w:val="24"/>
          <w:szCs w:val="24"/>
        </w:rPr>
      </w:pPr>
      <w:r w:rsidRPr="00CC4795">
        <w:rPr>
          <w:rFonts w:ascii="Arial" w:hAnsi="Arial" w:cs="Arial"/>
          <w:b/>
          <w:sz w:val="24"/>
          <w:szCs w:val="24"/>
        </w:rPr>
        <w:t>V</w:t>
      </w:r>
      <w:r w:rsidR="007632F0" w:rsidRPr="00CC4795">
        <w:rPr>
          <w:rFonts w:ascii="Arial" w:hAnsi="Arial" w:cs="Arial"/>
          <w:b/>
          <w:sz w:val="24"/>
          <w:szCs w:val="24"/>
        </w:rPr>
        <w:t xml:space="preserve">.- Se resuelve, </w:t>
      </w:r>
      <w:r w:rsidR="00C93067" w:rsidRPr="00CC4795">
        <w:rPr>
          <w:rFonts w:ascii="Arial" w:hAnsi="Arial" w:cs="Arial"/>
          <w:b/>
          <w:sz w:val="24"/>
          <w:szCs w:val="24"/>
        </w:rPr>
        <w:t xml:space="preserve">1) </w:t>
      </w:r>
      <w:r w:rsidR="00CC4795" w:rsidRPr="00CC4795">
        <w:rPr>
          <w:rFonts w:ascii="Arial" w:hAnsi="Arial" w:cs="Arial"/>
          <w:sz w:val="24"/>
          <w:szCs w:val="24"/>
        </w:rPr>
        <w:t>Fijase</w:t>
      </w:r>
      <w:r w:rsidR="00C93067" w:rsidRPr="00CC4795">
        <w:rPr>
          <w:rFonts w:ascii="Arial" w:hAnsi="Arial" w:cs="Arial"/>
          <w:sz w:val="24"/>
          <w:szCs w:val="24"/>
        </w:rPr>
        <w:t xml:space="preserve"> en calidad de </w:t>
      </w:r>
      <w:r w:rsidR="00C93067" w:rsidRPr="00CC4795">
        <w:rPr>
          <w:rFonts w:ascii="Arial" w:hAnsi="Arial" w:cs="Arial"/>
          <w:b/>
          <w:bCs/>
          <w:sz w:val="24"/>
          <w:szCs w:val="24"/>
        </w:rPr>
        <w:t xml:space="preserve">alimentos provisorios la suma </w:t>
      </w:r>
      <w:r w:rsidR="00BB000C" w:rsidRPr="00CC4795">
        <w:rPr>
          <w:rFonts w:ascii="Arial" w:hAnsi="Arial" w:cs="Arial"/>
          <w:b/>
          <w:bCs/>
          <w:sz w:val="24"/>
          <w:szCs w:val="24"/>
        </w:rPr>
        <w:t>de (</w:t>
      </w:r>
      <w:r w:rsidR="00C93067" w:rsidRPr="00CC4795">
        <w:rPr>
          <w:rFonts w:ascii="Arial" w:hAnsi="Arial" w:cs="Arial"/>
          <w:b/>
          <w:bCs/>
          <w:sz w:val="24"/>
          <w:szCs w:val="24"/>
        </w:rPr>
        <w:t>$ 105.817) mensuales</w:t>
      </w:r>
      <w:r w:rsidR="00C93067" w:rsidRPr="00CC4795">
        <w:rPr>
          <w:rFonts w:ascii="Arial" w:hAnsi="Arial" w:cs="Arial"/>
          <w:sz w:val="24"/>
          <w:szCs w:val="24"/>
        </w:rPr>
        <w:t xml:space="preserve"> que el demandado P.  deberá abonar en efectivo a favor de su hija menor O. B. </w:t>
      </w:r>
      <w:r w:rsidR="00BB000C" w:rsidRPr="00CC4795">
        <w:rPr>
          <w:rFonts w:ascii="Arial" w:hAnsi="Arial" w:cs="Arial"/>
          <w:sz w:val="24"/>
          <w:szCs w:val="24"/>
        </w:rPr>
        <w:t>P.</w:t>
      </w:r>
      <w:r w:rsidR="00C93067" w:rsidRPr="00CC4795">
        <w:rPr>
          <w:rFonts w:ascii="Arial" w:hAnsi="Arial" w:cs="Arial"/>
          <w:sz w:val="24"/>
          <w:szCs w:val="24"/>
        </w:rPr>
        <w:t xml:space="preserve"> </w:t>
      </w:r>
    </w:p>
    <w:p w14:paraId="67F58EDB" w14:textId="02AAB918" w:rsidR="00C93067" w:rsidRPr="00CC4795" w:rsidRDefault="00C93067" w:rsidP="00BB000C">
      <w:pPr>
        <w:spacing w:line="360" w:lineRule="auto"/>
        <w:jc w:val="both"/>
        <w:rPr>
          <w:rFonts w:ascii="Arial" w:hAnsi="Arial" w:cs="Arial"/>
          <w:sz w:val="20"/>
          <w:szCs w:val="20"/>
        </w:rPr>
      </w:pPr>
      <w:r w:rsidRPr="00CC4795">
        <w:rPr>
          <w:rFonts w:ascii="Arial" w:hAnsi="Arial" w:cs="Arial"/>
          <w:sz w:val="24"/>
          <w:szCs w:val="24"/>
        </w:rPr>
        <w:t xml:space="preserve">A los fines del cumplimiento de la misma y teniendo en cuenta los antecedentes de incumplimientos anteriores citados en la demanda y corroborados en el sistema </w:t>
      </w:r>
      <w:r w:rsidR="007632F0" w:rsidRPr="00CC4795">
        <w:rPr>
          <w:rFonts w:ascii="Arial" w:hAnsi="Arial" w:cs="Arial"/>
          <w:sz w:val="24"/>
          <w:szCs w:val="24"/>
        </w:rPr>
        <w:t>Augusta, para</w:t>
      </w:r>
      <w:r w:rsidRPr="00CC4795">
        <w:rPr>
          <w:rFonts w:ascii="Arial" w:hAnsi="Arial" w:cs="Arial"/>
          <w:sz w:val="24"/>
          <w:szCs w:val="24"/>
        </w:rPr>
        <w:t xml:space="preserve"> su efectivización </w:t>
      </w:r>
      <w:r w:rsidR="00BB000C" w:rsidRPr="00CC4795">
        <w:rPr>
          <w:rFonts w:ascii="Arial" w:hAnsi="Arial" w:cs="Arial"/>
          <w:sz w:val="24"/>
          <w:szCs w:val="24"/>
        </w:rPr>
        <w:t>ordénese</w:t>
      </w:r>
      <w:r w:rsidRPr="00CC4795">
        <w:rPr>
          <w:rFonts w:ascii="Arial" w:hAnsi="Arial" w:cs="Arial"/>
          <w:sz w:val="24"/>
          <w:szCs w:val="24"/>
        </w:rPr>
        <w:t xml:space="preserve"> el embargo al empleador del alimentante. </w:t>
      </w:r>
      <w:r w:rsidRPr="00CC4795">
        <w:rPr>
          <w:rFonts w:ascii="Arial" w:hAnsi="Arial" w:cs="Arial"/>
          <w:b/>
          <w:bCs/>
          <w:sz w:val="20"/>
          <w:szCs w:val="20"/>
        </w:rPr>
        <w:t xml:space="preserve">(Arts. 198, 209, </w:t>
      </w:r>
      <w:proofErr w:type="spellStart"/>
      <w:r w:rsidRPr="00CC4795">
        <w:rPr>
          <w:rFonts w:ascii="Arial" w:hAnsi="Arial" w:cs="Arial"/>
          <w:b/>
          <w:bCs/>
          <w:sz w:val="20"/>
          <w:szCs w:val="20"/>
        </w:rPr>
        <w:t>ss</w:t>
      </w:r>
      <w:proofErr w:type="spellEnd"/>
      <w:r w:rsidRPr="00CC4795">
        <w:rPr>
          <w:rFonts w:ascii="Arial" w:hAnsi="Arial" w:cs="Arial"/>
          <w:b/>
          <w:bCs/>
          <w:sz w:val="20"/>
          <w:szCs w:val="20"/>
        </w:rPr>
        <w:t xml:space="preserve"> y </w:t>
      </w:r>
      <w:proofErr w:type="spellStart"/>
      <w:r w:rsidRPr="00CC4795">
        <w:rPr>
          <w:rFonts w:ascii="Arial" w:hAnsi="Arial" w:cs="Arial"/>
          <w:b/>
          <w:bCs/>
          <w:sz w:val="20"/>
          <w:szCs w:val="20"/>
        </w:rPr>
        <w:t>cc</w:t>
      </w:r>
      <w:proofErr w:type="spellEnd"/>
      <w:r w:rsidRPr="00CC4795">
        <w:rPr>
          <w:rFonts w:ascii="Arial" w:hAnsi="Arial" w:cs="Arial"/>
          <w:b/>
          <w:bCs/>
          <w:sz w:val="20"/>
          <w:szCs w:val="20"/>
        </w:rPr>
        <w:t xml:space="preserve"> del CPCC; Arts. 544, 550 </w:t>
      </w:r>
      <w:proofErr w:type="spellStart"/>
      <w:r w:rsidRPr="00CC4795">
        <w:rPr>
          <w:rFonts w:ascii="Arial" w:hAnsi="Arial" w:cs="Arial"/>
          <w:b/>
          <w:bCs/>
          <w:sz w:val="20"/>
          <w:szCs w:val="20"/>
        </w:rPr>
        <w:t>ss</w:t>
      </w:r>
      <w:proofErr w:type="spellEnd"/>
      <w:r w:rsidRPr="00CC4795">
        <w:rPr>
          <w:rFonts w:ascii="Arial" w:hAnsi="Arial" w:cs="Arial"/>
          <w:b/>
          <w:bCs/>
          <w:sz w:val="20"/>
          <w:szCs w:val="20"/>
        </w:rPr>
        <w:t xml:space="preserve"> y </w:t>
      </w:r>
      <w:proofErr w:type="spellStart"/>
      <w:r w:rsidRPr="00CC4795">
        <w:rPr>
          <w:rFonts w:ascii="Arial" w:hAnsi="Arial" w:cs="Arial"/>
          <w:b/>
          <w:bCs/>
          <w:sz w:val="20"/>
          <w:szCs w:val="20"/>
        </w:rPr>
        <w:t>cc</w:t>
      </w:r>
      <w:proofErr w:type="spellEnd"/>
      <w:r w:rsidRPr="00CC4795">
        <w:rPr>
          <w:rFonts w:ascii="Arial" w:hAnsi="Arial" w:cs="Arial"/>
          <w:b/>
          <w:bCs/>
          <w:sz w:val="20"/>
          <w:szCs w:val="20"/>
        </w:rPr>
        <w:t xml:space="preserve"> del Código Civil y Comercial).</w:t>
      </w:r>
    </w:p>
    <w:p w14:paraId="6C800972" w14:textId="0642E7D5" w:rsidR="00E82EBC" w:rsidRPr="00CC4795" w:rsidRDefault="00C93067" w:rsidP="00BB000C">
      <w:pPr>
        <w:spacing w:line="360" w:lineRule="auto"/>
        <w:jc w:val="both"/>
        <w:rPr>
          <w:rFonts w:ascii="Arial" w:hAnsi="Arial" w:cs="Arial"/>
          <w:sz w:val="24"/>
          <w:szCs w:val="24"/>
        </w:rPr>
      </w:pPr>
      <w:r w:rsidRPr="00CC4795">
        <w:rPr>
          <w:rFonts w:ascii="Arial" w:hAnsi="Arial" w:cs="Arial"/>
          <w:sz w:val="24"/>
          <w:szCs w:val="24"/>
        </w:rPr>
        <w:lastRenderedPageBreak/>
        <w:t xml:space="preserve">A tal fin ofíciese al empleador haciéndole saber que deberá depositar las cantidades indicadas en la cuenta de autos, dentro de los tres días de retenidas. Y se le deberá poner en su conocimiento que de conformidad con lo normado por el Art. 551 del Cód. Civil y Comercial, el incumplimiento de la presente orden judicial, además de acarrear las consecuencias penales previstas en el Art. 239 del Cód. Penal (pena de prisión de quince días a un año), lo hace responsable solidariamente por el pago de la deuda alimentaria frente al incumplimiento del depósito de aquellas sumas que debió descontar a su dependiente o a cualquier otro acreedor. Consecuentemente, para su diligenciamiento, deberá transcribirse en la mentada pieza procesal el contenido íntegro de lo normado en los Artículos 239 del Código Penal y 551 del Cód. Civil y Comercial. 3) </w:t>
      </w:r>
      <w:proofErr w:type="spellStart"/>
      <w:r w:rsidRPr="00CC4795">
        <w:rPr>
          <w:rFonts w:ascii="Arial" w:hAnsi="Arial" w:cs="Arial"/>
          <w:sz w:val="24"/>
          <w:szCs w:val="24"/>
        </w:rPr>
        <w:t>Córrese</w:t>
      </w:r>
      <w:proofErr w:type="spellEnd"/>
      <w:r w:rsidRPr="00CC4795">
        <w:rPr>
          <w:rFonts w:ascii="Arial" w:hAnsi="Arial" w:cs="Arial"/>
          <w:sz w:val="24"/>
          <w:szCs w:val="24"/>
        </w:rPr>
        <w:t xml:space="preserve"> vista a la Dra. C. M. A., Asesor de Incapaces interviniente en el principal.</w:t>
      </w:r>
      <w:r w:rsidR="00BB000C" w:rsidRPr="00CC4795">
        <w:rPr>
          <w:rFonts w:ascii="Arial" w:hAnsi="Arial" w:cs="Arial"/>
          <w:sz w:val="24"/>
          <w:szCs w:val="24"/>
        </w:rPr>
        <w:t>.</w:t>
      </w:r>
      <w:r w:rsidRPr="00CC4795">
        <w:rPr>
          <w:rFonts w:ascii="Arial" w:hAnsi="Arial" w:cs="Arial"/>
          <w:sz w:val="24"/>
          <w:szCs w:val="24"/>
        </w:rPr>
        <w:t>.4) Notifíquese. La presente resolución se notifica en los términos de los Arts. 10, 11 a) y 13 del Ac. 4013, texto ordenado y modificado por Ac. 4039 de la S.C.B.A.</w:t>
      </w:r>
    </w:p>
    <w:p w14:paraId="36070641" w14:textId="2E266301" w:rsidR="00816E88" w:rsidRDefault="007B732C" w:rsidP="00BB000C">
      <w:pPr>
        <w:pStyle w:val="NormalWeb"/>
        <w:shd w:val="clear" w:color="auto" w:fill="FFFFFF"/>
        <w:spacing w:before="0" w:beforeAutospacing="0" w:line="360" w:lineRule="auto"/>
        <w:jc w:val="both"/>
        <w:rPr>
          <w:rFonts w:ascii="Arial" w:hAnsi="Arial" w:cs="Arial"/>
          <w:b/>
          <w:color w:val="000000" w:themeColor="text1"/>
        </w:rPr>
      </w:pPr>
      <w:r w:rsidRPr="00CC4795">
        <w:rPr>
          <w:rFonts w:ascii="Arial" w:hAnsi="Arial" w:cs="Arial"/>
          <w:b/>
          <w:color w:val="000000" w:themeColor="text1"/>
        </w:rPr>
        <w:t>V</w:t>
      </w:r>
      <w:r w:rsidR="00E02A68" w:rsidRPr="00CC4795">
        <w:rPr>
          <w:rFonts w:ascii="Arial" w:hAnsi="Arial" w:cs="Arial"/>
          <w:b/>
          <w:color w:val="000000" w:themeColor="text1"/>
        </w:rPr>
        <w:t>I</w:t>
      </w:r>
      <w:r w:rsidR="00235E78" w:rsidRPr="00CC4795">
        <w:rPr>
          <w:rFonts w:ascii="Arial" w:hAnsi="Arial" w:cs="Arial"/>
          <w:b/>
          <w:color w:val="000000" w:themeColor="text1"/>
        </w:rPr>
        <w:t xml:space="preserve">.- </w:t>
      </w:r>
      <w:r w:rsidR="00AF16EF" w:rsidRPr="00CC4795">
        <w:rPr>
          <w:rFonts w:ascii="Arial" w:hAnsi="Arial" w:cs="Arial"/>
          <w:b/>
          <w:color w:val="000000" w:themeColor="text1"/>
        </w:rPr>
        <w:t xml:space="preserve">Conclusión. </w:t>
      </w:r>
    </w:p>
    <w:p w14:paraId="04ACD9B4" w14:textId="3E3414DA" w:rsidR="009E74F4" w:rsidRPr="009A0760" w:rsidRDefault="00EF4D5F" w:rsidP="009A0760">
      <w:pPr>
        <w:pStyle w:val="NormalWeb"/>
        <w:shd w:val="clear" w:color="auto" w:fill="FFFFFF"/>
        <w:spacing w:before="0" w:beforeAutospacing="0" w:line="360" w:lineRule="auto"/>
        <w:jc w:val="both"/>
        <w:rPr>
          <w:rFonts w:ascii="Arial" w:hAnsi="Arial" w:cs="Arial"/>
          <w:bCs/>
          <w:color w:val="000000" w:themeColor="text1"/>
        </w:rPr>
      </w:pPr>
      <w:r w:rsidRPr="00EF4D5F">
        <w:rPr>
          <w:rFonts w:ascii="Arial" w:hAnsi="Arial" w:cs="Arial"/>
          <w:bCs/>
          <w:color w:val="000000" w:themeColor="text1"/>
        </w:rPr>
        <w:t>En el caso analizado se fijan alimentos provisorios durante un incidente de aumento de cuota alimentaria, dada</w:t>
      </w:r>
      <w:r w:rsidR="009A0760">
        <w:rPr>
          <w:rFonts w:ascii="Arial" w:hAnsi="Arial" w:cs="Arial"/>
          <w:bCs/>
          <w:color w:val="000000" w:themeColor="text1"/>
        </w:rPr>
        <w:t>s</w:t>
      </w:r>
      <w:r w:rsidRPr="00EF4D5F">
        <w:rPr>
          <w:rFonts w:ascii="Arial" w:hAnsi="Arial" w:cs="Arial"/>
          <w:bCs/>
          <w:color w:val="000000" w:themeColor="text1"/>
        </w:rPr>
        <w:t xml:space="preserve"> las pruebas aportadas</w:t>
      </w:r>
      <w:r>
        <w:rPr>
          <w:rFonts w:ascii="Arial" w:hAnsi="Arial" w:cs="Arial"/>
          <w:bCs/>
          <w:color w:val="000000" w:themeColor="text1"/>
        </w:rPr>
        <w:t xml:space="preserve"> </w:t>
      </w:r>
      <w:r w:rsidR="009A0760">
        <w:rPr>
          <w:rFonts w:ascii="Arial" w:hAnsi="Arial" w:cs="Arial"/>
          <w:bCs/>
          <w:color w:val="000000" w:themeColor="text1"/>
        </w:rPr>
        <w:t>de acuerdo con</w:t>
      </w:r>
      <w:r>
        <w:rPr>
          <w:rFonts w:ascii="Arial" w:hAnsi="Arial" w:cs="Arial"/>
          <w:bCs/>
          <w:color w:val="000000" w:themeColor="text1"/>
        </w:rPr>
        <w:t xml:space="preserve"> los presupuestos</w:t>
      </w:r>
      <w:r w:rsidR="009A0760">
        <w:rPr>
          <w:rFonts w:ascii="Arial" w:hAnsi="Arial" w:cs="Arial"/>
          <w:bCs/>
          <w:color w:val="000000" w:themeColor="text1"/>
        </w:rPr>
        <w:t xml:space="preserve"> de</w:t>
      </w:r>
      <w:r>
        <w:rPr>
          <w:rFonts w:ascii="Arial" w:hAnsi="Arial" w:cs="Arial"/>
          <w:bCs/>
          <w:color w:val="000000" w:themeColor="text1"/>
        </w:rPr>
        <w:t xml:space="preserve"> </w:t>
      </w:r>
      <w:r w:rsidRPr="00CC4795">
        <w:rPr>
          <w:rFonts w:ascii="Arial" w:hAnsi="Arial" w:cs="Arial"/>
        </w:rPr>
        <w:t>verosimilitud del derecho y peligro en la demora</w:t>
      </w:r>
      <w:r>
        <w:rPr>
          <w:rFonts w:ascii="Arial" w:hAnsi="Arial" w:cs="Arial"/>
          <w:bCs/>
          <w:color w:val="000000" w:themeColor="text1"/>
        </w:rPr>
        <w:t>.</w:t>
      </w:r>
      <w:r w:rsidR="009A0760">
        <w:rPr>
          <w:rFonts w:ascii="Arial" w:hAnsi="Arial" w:cs="Arial"/>
          <w:bCs/>
          <w:color w:val="000000" w:themeColor="text1"/>
        </w:rPr>
        <w:t xml:space="preserve"> Valorando el proceso inflacionario, público y notorio, además de las tareas de cuidado como aporte económico de quien detenta el cuidado personal de niños, niñas y adolescentes. </w:t>
      </w:r>
      <w:r>
        <w:rPr>
          <w:rFonts w:ascii="Arial" w:hAnsi="Arial" w:cs="Arial"/>
          <w:bCs/>
          <w:color w:val="000000" w:themeColor="text1"/>
        </w:rPr>
        <w:t xml:space="preserve">Estableciéndose </w:t>
      </w:r>
      <w:r w:rsidRPr="00EF4D5F">
        <w:rPr>
          <w:rFonts w:ascii="Arial" w:hAnsi="Arial" w:cs="Arial"/>
          <w:bCs/>
          <w:color w:val="000000" w:themeColor="text1"/>
        </w:rPr>
        <w:t xml:space="preserve">el monto con el nuevo índice de crianza tomando </w:t>
      </w:r>
      <w:r w:rsidR="009A0760">
        <w:rPr>
          <w:rFonts w:ascii="Arial" w:hAnsi="Arial" w:cs="Arial"/>
          <w:bCs/>
          <w:color w:val="000000" w:themeColor="text1"/>
        </w:rPr>
        <w:t xml:space="preserve">la </w:t>
      </w:r>
      <w:r w:rsidRPr="00EF4D5F">
        <w:rPr>
          <w:rFonts w:ascii="Arial" w:hAnsi="Arial" w:cs="Arial"/>
          <w:bCs/>
          <w:color w:val="000000" w:themeColor="text1"/>
        </w:rPr>
        <w:t>escala</w:t>
      </w:r>
      <w:r w:rsidR="009A0760">
        <w:rPr>
          <w:rFonts w:ascii="Arial" w:hAnsi="Arial" w:cs="Arial"/>
          <w:bCs/>
          <w:color w:val="000000" w:themeColor="text1"/>
        </w:rPr>
        <w:t xml:space="preserve"> </w:t>
      </w:r>
      <w:r>
        <w:rPr>
          <w:rFonts w:ascii="Arial" w:hAnsi="Arial" w:cs="Arial"/>
          <w:bCs/>
          <w:color w:val="000000" w:themeColor="text1"/>
        </w:rPr>
        <w:t xml:space="preserve">establecida </w:t>
      </w:r>
      <w:r w:rsidR="009A0760">
        <w:rPr>
          <w:rFonts w:ascii="Arial" w:hAnsi="Arial" w:cs="Arial"/>
          <w:bCs/>
          <w:color w:val="000000" w:themeColor="text1"/>
        </w:rPr>
        <w:t xml:space="preserve">en su </w:t>
      </w:r>
      <w:r w:rsidRPr="00EF4D5F">
        <w:rPr>
          <w:rFonts w:ascii="Arial" w:hAnsi="Arial" w:cs="Arial"/>
          <w:bCs/>
          <w:color w:val="000000" w:themeColor="text1"/>
        </w:rPr>
        <w:t xml:space="preserve">totalidad </w:t>
      </w:r>
      <w:r w:rsidR="009A0760">
        <w:rPr>
          <w:rFonts w:ascii="Arial" w:hAnsi="Arial" w:cs="Arial"/>
          <w:bCs/>
          <w:color w:val="000000" w:themeColor="text1"/>
        </w:rPr>
        <w:t xml:space="preserve">por dicho </w:t>
      </w:r>
      <w:r w:rsidRPr="00EF4D5F">
        <w:rPr>
          <w:rFonts w:ascii="Arial" w:hAnsi="Arial" w:cs="Arial"/>
          <w:bCs/>
          <w:color w:val="000000" w:themeColor="text1"/>
        </w:rPr>
        <w:t>índice.</w:t>
      </w:r>
      <w:r>
        <w:rPr>
          <w:rFonts w:ascii="Arial" w:hAnsi="Arial" w:cs="Arial"/>
          <w:bCs/>
          <w:color w:val="000000" w:themeColor="text1"/>
        </w:rPr>
        <w:t xml:space="preserve"> </w:t>
      </w:r>
    </w:p>
    <w:p w14:paraId="4687CC7F" w14:textId="77777777" w:rsidR="00816E88" w:rsidRPr="009A0760" w:rsidRDefault="00816E88" w:rsidP="007632F0">
      <w:pPr>
        <w:pStyle w:val="NormalWeb"/>
        <w:shd w:val="clear" w:color="auto" w:fill="FFFFFF"/>
        <w:spacing w:before="0" w:beforeAutospacing="0" w:line="240" w:lineRule="atLeast"/>
        <w:jc w:val="both"/>
        <w:rPr>
          <w:rFonts w:asciiTheme="minorHAnsi" w:hAnsiTheme="minorHAnsi" w:cstheme="minorHAnsi"/>
          <w:b/>
          <w:color w:val="000000" w:themeColor="text1"/>
          <w:sz w:val="18"/>
          <w:szCs w:val="18"/>
        </w:rPr>
      </w:pPr>
      <w:r w:rsidRPr="009A0760">
        <w:rPr>
          <w:rFonts w:asciiTheme="minorHAnsi" w:hAnsiTheme="minorHAnsi" w:cstheme="minorHAnsi"/>
          <w:b/>
          <w:color w:val="000000" w:themeColor="text1"/>
          <w:sz w:val="18"/>
          <w:szCs w:val="18"/>
        </w:rPr>
        <w:t>Referencias.</w:t>
      </w:r>
    </w:p>
    <w:p w14:paraId="52192332" w14:textId="30A65909" w:rsidR="006163E1" w:rsidRPr="009A0760" w:rsidRDefault="00297C92" w:rsidP="007632F0">
      <w:pPr>
        <w:pStyle w:val="NormalWeb"/>
        <w:shd w:val="clear" w:color="auto" w:fill="FFFFFF"/>
        <w:spacing w:before="0" w:beforeAutospacing="0" w:line="240" w:lineRule="atLeast"/>
        <w:jc w:val="both"/>
        <w:rPr>
          <w:rFonts w:asciiTheme="minorHAnsi" w:hAnsiTheme="minorHAnsi" w:cstheme="minorHAnsi"/>
          <w:sz w:val="18"/>
          <w:szCs w:val="18"/>
        </w:rPr>
      </w:pPr>
      <w:r w:rsidRPr="009A0760">
        <w:rPr>
          <w:rFonts w:asciiTheme="minorHAnsi" w:hAnsiTheme="minorHAnsi" w:cstheme="minorHAnsi"/>
          <w:b/>
          <w:color w:val="000000" w:themeColor="text1"/>
          <w:sz w:val="18"/>
          <w:szCs w:val="18"/>
        </w:rPr>
        <w:t>[1]</w:t>
      </w:r>
      <w:r w:rsidRPr="009A0760">
        <w:rPr>
          <w:rFonts w:asciiTheme="minorHAnsi" w:hAnsiTheme="minorHAnsi" w:cstheme="minorHAnsi"/>
          <w:bCs/>
          <w:sz w:val="18"/>
          <w:szCs w:val="18"/>
        </w:rPr>
        <w:t xml:space="preserve"> </w:t>
      </w:r>
      <w:r w:rsidR="002F4701" w:rsidRPr="009A0760">
        <w:rPr>
          <w:rFonts w:asciiTheme="minorHAnsi" w:hAnsiTheme="minorHAnsi" w:cstheme="minorHAnsi"/>
          <w:sz w:val="18"/>
          <w:szCs w:val="18"/>
        </w:rPr>
        <w:t>(</w:t>
      </w:r>
      <w:proofErr w:type="spellStart"/>
      <w:r w:rsidR="002F4701" w:rsidRPr="009A0760">
        <w:rPr>
          <w:rFonts w:asciiTheme="minorHAnsi" w:hAnsiTheme="minorHAnsi" w:cstheme="minorHAnsi"/>
          <w:sz w:val="18"/>
          <w:szCs w:val="18"/>
        </w:rPr>
        <w:t>Cám</w:t>
      </w:r>
      <w:proofErr w:type="spellEnd"/>
      <w:r w:rsidR="002F4701" w:rsidRPr="009A0760">
        <w:rPr>
          <w:rFonts w:asciiTheme="minorHAnsi" w:hAnsiTheme="minorHAnsi" w:cstheme="minorHAnsi"/>
          <w:sz w:val="18"/>
          <w:szCs w:val="18"/>
        </w:rPr>
        <w:t xml:space="preserve">. 2º, cap. </w:t>
      </w:r>
      <w:proofErr w:type="spellStart"/>
      <w:r w:rsidR="002F4701" w:rsidRPr="009A0760">
        <w:rPr>
          <w:rFonts w:asciiTheme="minorHAnsi" w:hAnsiTheme="minorHAnsi" w:cstheme="minorHAnsi"/>
          <w:sz w:val="18"/>
          <w:szCs w:val="18"/>
        </w:rPr>
        <w:t>Juris</w:t>
      </w:r>
      <w:proofErr w:type="spellEnd"/>
      <w:r w:rsidR="002F4701" w:rsidRPr="009A0760">
        <w:rPr>
          <w:rFonts w:asciiTheme="minorHAnsi" w:hAnsiTheme="minorHAnsi" w:cstheme="minorHAnsi"/>
          <w:sz w:val="18"/>
          <w:szCs w:val="18"/>
        </w:rPr>
        <w:t xml:space="preserve">. Arg. V. 60, p. 547; </w:t>
      </w:r>
      <w:proofErr w:type="spellStart"/>
      <w:r w:rsidR="002F4701" w:rsidRPr="009A0760">
        <w:rPr>
          <w:rFonts w:asciiTheme="minorHAnsi" w:hAnsiTheme="minorHAnsi" w:cstheme="minorHAnsi"/>
          <w:sz w:val="18"/>
          <w:szCs w:val="18"/>
        </w:rPr>
        <w:t>Cám</w:t>
      </w:r>
      <w:proofErr w:type="spellEnd"/>
      <w:r w:rsidR="002F4701" w:rsidRPr="009A0760">
        <w:rPr>
          <w:rFonts w:asciiTheme="minorHAnsi" w:hAnsiTheme="minorHAnsi" w:cstheme="minorHAnsi"/>
          <w:sz w:val="18"/>
          <w:szCs w:val="18"/>
        </w:rPr>
        <w:t>. 2º Apel. La Plata, DJBA, v. 53 p. 161</w:t>
      </w:r>
      <w:r w:rsidR="002F4701" w:rsidRPr="009A0760">
        <w:rPr>
          <w:rFonts w:asciiTheme="minorHAnsi" w:hAnsiTheme="minorHAnsi" w:cstheme="minorHAnsi"/>
          <w:sz w:val="18"/>
          <w:szCs w:val="18"/>
        </w:rPr>
        <w:t>.</w:t>
      </w:r>
    </w:p>
    <w:p w14:paraId="01EC5E92" w14:textId="2D2255F5" w:rsidR="002F4701" w:rsidRPr="009A0760" w:rsidRDefault="00297C92" w:rsidP="007632F0">
      <w:pPr>
        <w:spacing w:line="240" w:lineRule="atLeast"/>
        <w:jc w:val="both"/>
        <w:rPr>
          <w:rFonts w:cstheme="minorHAnsi"/>
          <w:sz w:val="18"/>
          <w:szCs w:val="18"/>
        </w:rPr>
      </w:pPr>
      <w:r w:rsidRPr="009A0760">
        <w:rPr>
          <w:rFonts w:cstheme="minorHAnsi"/>
          <w:b/>
          <w:sz w:val="18"/>
          <w:szCs w:val="18"/>
        </w:rPr>
        <w:t>[2]</w:t>
      </w:r>
      <w:r w:rsidRPr="009A0760">
        <w:rPr>
          <w:rFonts w:cstheme="minorHAnsi"/>
          <w:bCs/>
          <w:sz w:val="18"/>
          <w:szCs w:val="18"/>
        </w:rPr>
        <w:t xml:space="preserve"> </w:t>
      </w:r>
      <w:r w:rsidR="002F4701" w:rsidRPr="009A0760">
        <w:rPr>
          <w:rFonts w:cstheme="minorHAnsi"/>
          <w:sz w:val="18"/>
          <w:szCs w:val="18"/>
        </w:rPr>
        <w:t xml:space="preserve">(art. 647 Cód. Procesal). (cfr. </w:t>
      </w:r>
      <w:proofErr w:type="spellStart"/>
      <w:r w:rsidR="002F4701" w:rsidRPr="009A0760">
        <w:rPr>
          <w:rFonts w:cstheme="minorHAnsi"/>
          <w:sz w:val="18"/>
          <w:szCs w:val="18"/>
        </w:rPr>
        <w:t>Morello</w:t>
      </w:r>
      <w:proofErr w:type="spellEnd"/>
      <w:r w:rsidR="002F4701" w:rsidRPr="009A0760">
        <w:rPr>
          <w:rFonts w:cstheme="minorHAnsi"/>
          <w:sz w:val="18"/>
          <w:szCs w:val="18"/>
        </w:rPr>
        <w:t xml:space="preserve"> -</w:t>
      </w:r>
      <w:proofErr w:type="spellStart"/>
      <w:r w:rsidR="002F4701" w:rsidRPr="009A0760">
        <w:rPr>
          <w:rFonts w:cstheme="minorHAnsi"/>
          <w:sz w:val="18"/>
          <w:szCs w:val="18"/>
        </w:rPr>
        <w:t>Passi</w:t>
      </w:r>
      <w:proofErr w:type="spellEnd"/>
      <w:r w:rsidR="002F4701" w:rsidRPr="009A0760">
        <w:rPr>
          <w:rFonts w:cstheme="minorHAnsi"/>
          <w:sz w:val="18"/>
          <w:szCs w:val="18"/>
        </w:rPr>
        <w:t xml:space="preserve"> Lanza-Sosa-</w:t>
      </w:r>
      <w:proofErr w:type="spellStart"/>
      <w:r w:rsidR="002F4701" w:rsidRPr="009A0760">
        <w:rPr>
          <w:rFonts w:cstheme="minorHAnsi"/>
          <w:sz w:val="18"/>
          <w:szCs w:val="18"/>
        </w:rPr>
        <w:t>Berizonce</w:t>
      </w:r>
      <w:proofErr w:type="spellEnd"/>
      <w:r w:rsidR="002F4701" w:rsidRPr="009A0760">
        <w:rPr>
          <w:rFonts w:cstheme="minorHAnsi"/>
          <w:sz w:val="18"/>
          <w:szCs w:val="18"/>
        </w:rPr>
        <w:t xml:space="preserve">, códigos procesales, v. </w:t>
      </w:r>
      <w:proofErr w:type="spellStart"/>
      <w:r w:rsidR="002F4701" w:rsidRPr="009A0760">
        <w:rPr>
          <w:rFonts w:cstheme="minorHAnsi"/>
          <w:sz w:val="18"/>
          <w:szCs w:val="18"/>
        </w:rPr>
        <w:t>Tº</w:t>
      </w:r>
      <w:proofErr w:type="spellEnd"/>
      <w:r w:rsidR="002F4701" w:rsidRPr="009A0760">
        <w:rPr>
          <w:rFonts w:cstheme="minorHAnsi"/>
          <w:sz w:val="18"/>
          <w:szCs w:val="18"/>
        </w:rPr>
        <w:t xml:space="preserve"> II-A, P. 759)</w:t>
      </w:r>
    </w:p>
    <w:p w14:paraId="6993E73F" w14:textId="59A1BED2" w:rsidR="002F4701" w:rsidRPr="009A0760" w:rsidRDefault="002F4701" w:rsidP="007632F0">
      <w:pPr>
        <w:spacing w:line="240" w:lineRule="atLeast"/>
        <w:jc w:val="both"/>
        <w:rPr>
          <w:rFonts w:cstheme="minorHAnsi"/>
          <w:sz w:val="18"/>
          <w:szCs w:val="18"/>
        </w:rPr>
      </w:pPr>
      <w:r w:rsidRPr="009A0760">
        <w:rPr>
          <w:rFonts w:cstheme="minorHAnsi"/>
          <w:b/>
          <w:bCs/>
          <w:sz w:val="18"/>
          <w:szCs w:val="18"/>
          <w:lang w:val="en-US"/>
        </w:rPr>
        <w:t xml:space="preserve">[3] </w:t>
      </w:r>
      <w:r w:rsidRPr="009A0760">
        <w:rPr>
          <w:rFonts w:cstheme="minorHAnsi"/>
          <w:b/>
          <w:bCs/>
          <w:sz w:val="18"/>
          <w:szCs w:val="18"/>
          <w:lang w:val="en-US"/>
        </w:rPr>
        <w:t>(</w:t>
      </w:r>
      <w:r w:rsidRPr="009A0760">
        <w:rPr>
          <w:rFonts w:cstheme="minorHAnsi"/>
          <w:sz w:val="18"/>
          <w:szCs w:val="18"/>
          <w:lang w:val="en-US"/>
        </w:rPr>
        <w:t xml:space="preserve">arg. art. 19 Const. </w:t>
      </w:r>
      <w:proofErr w:type="spellStart"/>
      <w:r w:rsidRPr="009A0760">
        <w:rPr>
          <w:rFonts w:cstheme="minorHAnsi"/>
          <w:sz w:val="18"/>
          <w:szCs w:val="18"/>
          <w:lang w:val="en-US"/>
        </w:rPr>
        <w:t>Nac</w:t>
      </w:r>
      <w:proofErr w:type="spellEnd"/>
      <w:r w:rsidRPr="009A0760">
        <w:rPr>
          <w:rFonts w:cstheme="minorHAnsi"/>
          <w:sz w:val="18"/>
          <w:szCs w:val="18"/>
          <w:lang w:val="en-US"/>
        </w:rPr>
        <w:t xml:space="preserve">.; art. 375 </w:t>
      </w:r>
      <w:proofErr w:type="spellStart"/>
      <w:r w:rsidRPr="009A0760">
        <w:rPr>
          <w:rFonts w:cstheme="minorHAnsi"/>
          <w:sz w:val="18"/>
          <w:szCs w:val="18"/>
          <w:lang w:val="en-US"/>
        </w:rPr>
        <w:t>cód</w:t>
      </w:r>
      <w:proofErr w:type="spellEnd"/>
      <w:r w:rsidRPr="009A0760">
        <w:rPr>
          <w:rFonts w:cstheme="minorHAnsi"/>
          <w:sz w:val="18"/>
          <w:szCs w:val="18"/>
          <w:lang w:val="en-US"/>
        </w:rPr>
        <w:t xml:space="preserve">. civ.) </w:t>
      </w:r>
      <w:r w:rsidRPr="009A0760">
        <w:rPr>
          <w:rFonts w:cstheme="minorHAnsi"/>
          <w:sz w:val="18"/>
          <w:szCs w:val="18"/>
        </w:rPr>
        <w:t xml:space="preserve">(conf. esta Cámara </w:t>
      </w:r>
      <w:r w:rsidRPr="009A0760">
        <w:rPr>
          <w:rFonts w:ascii="Calibri" w:hAnsi="Calibri" w:cs="Calibri"/>
          <w:sz w:val="18"/>
          <w:szCs w:val="18"/>
        </w:rPr>
        <w:t></w:t>
      </w:r>
      <w:r w:rsidRPr="009A0760">
        <w:rPr>
          <w:rFonts w:cstheme="minorHAnsi"/>
          <w:sz w:val="18"/>
          <w:szCs w:val="18"/>
        </w:rPr>
        <w:t>R., V. G. C/ S., M. H. S/ INCIDENTE DE AUMENTO DE CUOTA ALIMENTARIA</w:t>
      </w:r>
      <w:r w:rsidRPr="009A0760">
        <w:rPr>
          <w:rFonts w:ascii="Calibri" w:hAnsi="Calibri" w:cs="Calibri"/>
          <w:sz w:val="18"/>
          <w:szCs w:val="18"/>
        </w:rPr>
        <w:t></w:t>
      </w:r>
      <w:r w:rsidRPr="009A0760">
        <w:rPr>
          <w:rFonts w:cstheme="minorHAnsi"/>
          <w:sz w:val="18"/>
          <w:szCs w:val="18"/>
        </w:rPr>
        <w:t xml:space="preserve">, </w:t>
      </w:r>
      <w:proofErr w:type="spellStart"/>
      <w:r w:rsidRPr="009A0760">
        <w:rPr>
          <w:rFonts w:cstheme="minorHAnsi"/>
          <w:sz w:val="18"/>
          <w:szCs w:val="18"/>
        </w:rPr>
        <w:t>expte</w:t>
      </w:r>
      <w:proofErr w:type="spellEnd"/>
      <w:r w:rsidRPr="009A0760">
        <w:rPr>
          <w:rFonts w:cstheme="minorHAnsi"/>
          <w:sz w:val="18"/>
          <w:szCs w:val="18"/>
        </w:rPr>
        <w:t xml:space="preserve">. 88409, Lib. 44, Reg.18, </w:t>
      </w:r>
      <w:proofErr w:type="spellStart"/>
      <w:r w:rsidRPr="009A0760">
        <w:rPr>
          <w:rFonts w:cstheme="minorHAnsi"/>
          <w:sz w:val="18"/>
          <w:szCs w:val="18"/>
        </w:rPr>
        <w:t>sent</w:t>
      </w:r>
      <w:proofErr w:type="spellEnd"/>
      <w:r w:rsidRPr="009A0760">
        <w:rPr>
          <w:rFonts w:cstheme="minorHAnsi"/>
          <w:sz w:val="18"/>
          <w:szCs w:val="18"/>
        </w:rPr>
        <w:t>. del 26/2/ 2013)." (Ver adem</w:t>
      </w:r>
      <w:r w:rsidRPr="009A0760">
        <w:rPr>
          <w:rFonts w:ascii="Calibri" w:hAnsi="Calibri" w:cs="Calibri"/>
          <w:sz w:val="18"/>
          <w:szCs w:val="18"/>
        </w:rPr>
        <w:t>á</w:t>
      </w:r>
      <w:r w:rsidRPr="009A0760">
        <w:rPr>
          <w:rFonts w:cstheme="minorHAnsi"/>
          <w:sz w:val="18"/>
          <w:szCs w:val="18"/>
        </w:rPr>
        <w:t>s iguales pronunciamientos en autos "RODRIGUEZ, VANESA GUADALUPE C/ SABBATTINI, MARTIN HUGO S/ INCIDENTE DE AUMENTO DE CUOTA ALIMENTARIA" (</w:t>
      </w:r>
      <w:proofErr w:type="spellStart"/>
      <w:r w:rsidRPr="009A0760">
        <w:rPr>
          <w:rFonts w:cstheme="minorHAnsi"/>
          <w:sz w:val="18"/>
          <w:szCs w:val="18"/>
        </w:rPr>
        <w:t>expte</w:t>
      </w:r>
      <w:proofErr w:type="spellEnd"/>
      <w:r w:rsidRPr="009A0760">
        <w:rPr>
          <w:rFonts w:cstheme="minorHAnsi"/>
          <w:sz w:val="18"/>
          <w:szCs w:val="18"/>
        </w:rPr>
        <w:t>. nro. -88409-), del 26/02/2013 entre otros.)</w:t>
      </w:r>
    </w:p>
    <w:p w14:paraId="6A5B23BE" w14:textId="51A5499A" w:rsidR="002F4701" w:rsidRPr="009A0760" w:rsidRDefault="002F4701" w:rsidP="007632F0">
      <w:pPr>
        <w:spacing w:line="240" w:lineRule="atLeast"/>
        <w:jc w:val="both"/>
        <w:rPr>
          <w:rFonts w:cstheme="minorHAnsi"/>
          <w:sz w:val="18"/>
          <w:szCs w:val="18"/>
        </w:rPr>
      </w:pPr>
      <w:r w:rsidRPr="009A0760">
        <w:rPr>
          <w:rFonts w:cstheme="minorHAnsi"/>
          <w:b/>
          <w:bCs/>
          <w:sz w:val="18"/>
          <w:szCs w:val="18"/>
        </w:rPr>
        <w:t xml:space="preserve">[4] </w:t>
      </w:r>
      <w:r w:rsidRPr="009A0760">
        <w:rPr>
          <w:rFonts w:cstheme="minorHAnsi"/>
          <w:sz w:val="18"/>
          <w:szCs w:val="18"/>
        </w:rPr>
        <w:t xml:space="preserve">(Ver “Medias cautelares en el derecho de familia.”, Silvia V. </w:t>
      </w:r>
      <w:proofErr w:type="spellStart"/>
      <w:r w:rsidRPr="009A0760">
        <w:rPr>
          <w:rFonts w:cstheme="minorHAnsi"/>
          <w:sz w:val="18"/>
          <w:szCs w:val="18"/>
        </w:rPr>
        <w:t>Guahnon</w:t>
      </w:r>
      <w:proofErr w:type="spellEnd"/>
      <w:r w:rsidRPr="009A0760">
        <w:rPr>
          <w:rFonts w:cstheme="minorHAnsi"/>
          <w:sz w:val="18"/>
          <w:szCs w:val="18"/>
        </w:rPr>
        <w:t>. Editorial La Rocca, 2011)</w:t>
      </w:r>
    </w:p>
    <w:p w14:paraId="330D3D71" w14:textId="4DB0EC28" w:rsidR="006163E1" w:rsidRPr="009A0760" w:rsidRDefault="007632F0" w:rsidP="007632F0">
      <w:pPr>
        <w:pStyle w:val="NormalWeb"/>
        <w:shd w:val="clear" w:color="auto" w:fill="FFFFFF"/>
        <w:spacing w:before="0" w:beforeAutospacing="0" w:line="240" w:lineRule="atLeast"/>
        <w:jc w:val="both"/>
        <w:rPr>
          <w:rFonts w:asciiTheme="minorHAnsi" w:hAnsiTheme="minorHAnsi" w:cstheme="minorHAnsi"/>
          <w:sz w:val="18"/>
          <w:szCs w:val="18"/>
        </w:rPr>
      </w:pPr>
      <w:r w:rsidRPr="009A0760">
        <w:rPr>
          <w:rFonts w:asciiTheme="minorHAnsi" w:hAnsiTheme="minorHAnsi" w:cstheme="minorHAnsi"/>
          <w:b/>
          <w:sz w:val="18"/>
          <w:szCs w:val="18"/>
        </w:rPr>
        <w:t>[5]</w:t>
      </w:r>
      <w:r w:rsidRPr="009A0760">
        <w:rPr>
          <w:rFonts w:asciiTheme="minorHAnsi" w:hAnsiTheme="minorHAnsi" w:cstheme="minorHAnsi"/>
          <w:bCs/>
          <w:sz w:val="18"/>
          <w:szCs w:val="18"/>
        </w:rPr>
        <w:t xml:space="preserve"> </w:t>
      </w:r>
      <w:r w:rsidRPr="009A0760">
        <w:rPr>
          <w:rFonts w:asciiTheme="minorHAnsi" w:hAnsiTheme="minorHAnsi" w:cstheme="minorHAnsi"/>
          <w:sz w:val="18"/>
          <w:szCs w:val="18"/>
        </w:rPr>
        <w:t xml:space="preserve">(Corte Suprema de Justicia de la Nación, P.H.P y otro c. Di </w:t>
      </w:r>
      <w:proofErr w:type="spellStart"/>
      <w:r w:rsidRPr="009A0760">
        <w:rPr>
          <w:rFonts w:asciiTheme="minorHAnsi" w:hAnsiTheme="minorHAnsi" w:cstheme="minorHAnsi"/>
          <w:sz w:val="18"/>
          <w:szCs w:val="18"/>
        </w:rPr>
        <w:t>Césare</w:t>
      </w:r>
      <w:proofErr w:type="spellEnd"/>
      <w:r w:rsidRPr="009A0760">
        <w:rPr>
          <w:rFonts w:asciiTheme="minorHAnsi" w:hAnsiTheme="minorHAnsi" w:cstheme="minorHAnsi"/>
          <w:sz w:val="18"/>
          <w:szCs w:val="18"/>
        </w:rPr>
        <w:t xml:space="preserve">, Luis Alberto y </w:t>
      </w:r>
      <w:proofErr w:type="spellStart"/>
      <w:r w:rsidRPr="009A0760">
        <w:rPr>
          <w:rFonts w:asciiTheme="minorHAnsi" w:hAnsiTheme="minorHAnsi" w:cstheme="minorHAnsi"/>
          <w:sz w:val="18"/>
          <w:szCs w:val="18"/>
        </w:rPr>
        <w:t>otro s</w:t>
      </w:r>
      <w:proofErr w:type="spellEnd"/>
      <w:r w:rsidRPr="009A0760">
        <w:rPr>
          <w:rFonts w:asciiTheme="minorHAnsi" w:hAnsiTheme="minorHAnsi" w:cstheme="minorHAnsi"/>
          <w:sz w:val="18"/>
          <w:szCs w:val="18"/>
        </w:rPr>
        <w:t xml:space="preserve">/ Art. 250 del C.P.C, 06/12/2011, </w:t>
      </w:r>
      <w:proofErr w:type="spellStart"/>
      <w:r w:rsidRPr="009A0760">
        <w:rPr>
          <w:rFonts w:asciiTheme="minorHAnsi" w:hAnsiTheme="minorHAnsi" w:cstheme="minorHAnsi"/>
          <w:sz w:val="18"/>
          <w:szCs w:val="18"/>
        </w:rPr>
        <w:t>RCyS</w:t>
      </w:r>
      <w:proofErr w:type="spellEnd"/>
      <w:r w:rsidRPr="009A0760">
        <w:rPr>
          <w:rFonts w:asciiTheme="minorHAnsi" w:hAnsiTheme="minorHAnsi" w:cstheme="minorHAnsi"/>
          <w:sz w:val="18"/>
          <w:szCs w:val="18"/>
        </w:rPr>
        <w:t xml:space="preserve"> 2012-II, 191 con nota de Jorge W. Peyrano, LA LEY 15/02/2012; Graciela Medina, </w:t>
      </w:r>
      <w:proofErr w:type="spellStart"/>
      <w:r w:rsidRPr="009A0760">
        <w:rPr>
          <w:rFonts w:asciiTheme="minorHAnsi" w:hAnsiTheme="minorHAnsi" w:cstheme="minorHAnsi"/>
          <w:sz w:val="18"/>
          <w:szCs w:val="18"/>
        </w:rPr>
        <w:t>RCyS</w:t>
      </w:r>
      <w:proofErr w:type="spellEnd"/>
      <w:r w:rsidRPr="009A0760">
        <w:rPr>
          <w:rFonts w:asciiTheme="minorHAnsi" w:hAnsiTheme="minorHAnsi" w:cstheme="minorHAnsi"/>
          <w:sz w:val="18"/>
          <w:szCs w:val="18"/>
        </w:rPr>
        <w:t xml:space="preserve"> 2012-III, 170 con nota de Toribio E. Sosa)</w:t>
      </w:r>
    </w:p>
    <w:p w14:paraId="4281B4EE" w14:textId="19485F6A" w:rsidR="007632F0" w:rsidRPr="009A0760" w:rsidRDefault="007632F0" w:rsidP="007632F0">
      <w:pPr>
        <w:spacing w:line="240" w:lineRule="atLeast"/>
        <w:jc w:val="both"/>
        <w:rPr>
          <w:rFonts w:cstheme="minorHAnsi"/>
          <w:sz w:val="18"/>
          <w:szCs w:val="18"/>
        </w:rPr>
      </w:pPr>
      <w:r w:rsidRPr="009A0760">
        <w:rPr>
          <w:rFonts w:cstheme="minorHAnsi"/>
          <w:b/>
          <w:bCs/>
          <w:sz w:val="18"/>
          <w:szCs w:val="18"/>
        </w:rPr>
        <w:t xml:space="preserve">[6] </w:t>
      </w:r>
      <w:r w:rsidRPr="009A0760">
        <w:rPr>
          <w:rFonts w:cstheme="minorHAnsi"/>
          <w:sz w:val="18"/>
          <w:szCs w:val="18"/>
        </w:rPr>
        <w:t xml:space="preserve">(Código Civil y Comercial de la Nación Comentado, </w:t>
      </w:r>
      <w:proofErr w:type="gramStart"/>
      <w:r w:rsidRPr="009A0760">
        <w:rPr>
          <w:rFonts w:cstheme="minorHAnsi"/>
          <w:sz w:val="18"/>
          <w:szCs w:val="18"/>
        </w:rPr>
        <w:t>Directores</w:t>
      </w:r>
      <w:proofErr w:type="gramEnd"/>
      <w:r w:rsidRPr="009A0760">
        <w:rPr>
          <w:rFonts w:cstheme="minorHAnsi"/>
          <w:sz w:val="18"/>
          <w:szCs w:val="18"/>
        </w:rPr>
        <w:t xml:space="preserve"> Marisa Herrera, Gustavo Caramelo y Sebastián Picasso; </w:t>
      </w:r>
      <w:proofErr w:type="spellStart"/>
      <w:r w:rsidRPr="009A0760">
        <w:rPr>
          <w:rFonts w:cstheme="minorHAnsi"/>
          <w:sz w:val="18"/>
          <w:szCs w:val="18"/>
        </w:rPr>
        <w:t>Infojus</w:t>
      </w:r>
      <w:proofErr w:type="spellEnd"/>
      <w:r w:rsidRPr="009A0760">
        <w:rPr>
          <w:rFonts w:cstheme="minorHAnsi"/>
          <w:sz w:val="18"/>
          <w:szCs w:val="18"/>
        </w:rPr>
        <w:t xml:space="preserve">, </w:t>
      </w:r>
      <w:proofErr w:type="spellStart"/>
      <w:r w:rsidRPr="009A0760">
        <w:rPr>
          <w:rFonts w:cstheme="minorHAnsi"/>
          <w:sz w:val="18"/>
          <w:szCs w:val="18"/>
        </w:rPr>
        <w:t>Tº</w:t>
      </w:r>
      <w:proofErr w:type="spellEnd"/>
      <w:r w:rsidRPr="009A0760">
        <w:rPr>
          <w:rFonts w:cstheme="minorHAnsi"/>
          <w:sz w:val="18"/>
          <w:szCs w:val="18"/>
        </w:rPr>
        <w:t xml:space="preserve"> II p 509/510)</w:t>
      </w:r>
    </w:p>
    <w:p w14:paraId="069C1AAE" w14:textId="44E15F36" w:rsidR="00B34115" w:rsidRPr="009A0760" w:rsidRDefault="007632F0" w:rsidP="009A0760">
      <w:pPr>
        <w:spacing w:line="240" w:lineRule="atLeast"/>
        <w:jc w:val="both"/>
        <w:rPr>
          <w:rFonts w:cstheme="minorHAnsi"/>
          <w:sz w:val="18"/>
          <w:szCs w:val="18"/>
        </w:rPr>
      </w:pPr>
      <w:r w:rsidRPr="009A0760">
        <w:rPr>
          <w:rFonts w:cstheme="minorHAnsi"/>
          <w:b/>
          <w:bCs/>
          <w:sz w:val="18"/>
          <w:szCs w:val="18"/>
        </w:rPr>
        <w:t xml:space="preserve">[7] </w:t>
      </w:r>
      <w:r w:rsidRPr="009A0760">
        <w:rPr>
          <w:rFonts w:cstheme="minorHAnsi"/>
          <w:sz w:val="18"/>
          <w:szCs w:val="18"/>
        </w:rPr>
        <w:t xml:space="preserve">(ver informe elaborado por el </w:t>
      </w:r>
      <w:proofErr w:type="spellStart"/>
      <w:r w:rsidRPr="009A0760">
        <w:rPr>
          <w:rFonts w:cstheme="minorHAnsi"/>
          <w:sz w:val="18"/>
          <w:szCs w:val="18"/>
        </w:rPr>
        <w:t>Indec</w:t>
      </w:r>
      <w:proofErr w:type="spellEnd"/>
      <w:r w:rsidRPr="009A0760">
        <w:rPr>
          <w:rFonts w:cstheme="minorHAnsi"/>
          <w:sz w:val="18"/>
          <w:szCs w:val="18"/>
        </w:rPr>
        <w:t xml:space="preserve"> con fecha 17/08/2023)</w:t>
      </w:r>
    </w:p>
    <w:sectPr w:rsidR="00B34115" w:rsidRPr="009A0760" w:rsidSect="00742DC0">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43EFF"/>
    <w:multiLevelType w:val="hybridMultilevel"/>
    <w:tmpl w:val="636C9B6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76020EF4"/>
    <w:multiLevelType w:val="multilevel"/>
    <w:tmpl w:val="B4CC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4637947">
    <w:abstractNumId w:val="1"/>
  </w:num>
  <w:num w:numId="2" w16cid:durableId="1133133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66156"/>
    <w:rsid w:val="000234C6"/>
    <w:rsid w:val="00087FD6"/>
    <w:rsid w:val="000C7CE1"/>
    <w:rsid w:val="000F705A"/>
    <w:rsid w:val="001C3176"/>
    <w:rsid w:val="001D09BB"/>
    <w:rsid w:val="00221402"/>
    <w:rsid w:val="00235E78"/>
    <w:rsid w:val="00244727"/>
    <w:rsid w:val="00246664"/>
    <w:rsid w:val="0028097E"/>
    <w:rsid w:val="00297C92"/>
    <w:rsid w:val="002F4701"/>
    <w:rsid w:val="00314EFF"/>
    <w:rsid w:val="00325F5D"/>
    <w:rsid w:val="00331335"/>
    <w:rsid w:val="00366156"/>
    <w:rsid w:val="00385CF0"/>
    <w:rsid w:val="003E0D53"/>
    <w:rsid w:val="003F36A9"/>
    <w:rsid w:val="0040413F"/>
    <w:rsid w:val="00407364"/>
    <w:rsid w:val="00431BB3"/>
    <w:rsid w:val="00491E6A"/>
    <w:rsid w:val="00516445"/>
    <w:rsid w:val="005520C8"/>
    <w:rsid w:val="005728AD"/>
    <w:rsid w:val="00582146"/>
    <w:rsid w:val="00587D46"/>
    <w:rsid w:val="00603E80"/>
    <w:rsid w:val="006163E1"/>
    <w:rsid w:val="0068654A"/>
    <w:rsid w:val="006A3261"/>
    <w:rsid w:val="006F287D"/>
    <w:rsid w:val="0071492A"/>
    <w:rsid w:val="00742DC0"/>
    <w:rsid w:val="00753E44"/>
    <w:rsid w:val="007632F0"/>
    <w:rsid w:val="007B732C"/>
    <w:rsid w:val="007C0DB5"/>
    <w:rsid w:val="007C2679"/>
    <w:rsid w:val="007E10A1"/>
    <w:rsid w:val="00807BAE"/>
    <w:rsid w:val="00816E88"/>
    <w:rsid w:val="00820A1C"/>
    <w:rsid w:val="00840932"/>
    <w:rsid w:val="00846390"/>
    <w:rsid w:val="008A0616"/>
    <w:rsid w:val="008C5649"/>
    <w:rsid w:val="00920E70"/>
    <w:rsid w:val="00921317"/>
    <w:rsid w:val="00953887"/>
    <w:rsid w:val="009A0760"/>
    <w:rsid w:val="009A147B"/>
    <w:rsid w:val="009E74F4"/>
    <w:rsid w:val="00A60E9A"/>
    <w:rsid w:val="00A73F74"/>
    <w:rsid w:val="00A94608"/>
    <w:rsid w:val="00AB16F0"/>
    <w:rsid w:val="00AF16EF"/>
    <w:rsid w:val="00AF416C"/>
    <w:rsid w:val="00B326D0"/>
    <w:rsid w:val="00B34115"/>
    <w:rsid w:val="00B82EC1"/>
    <w:rsid w:val="00BA56FB"/>
    <w:rsid w:val="00BB000C"/>
    <w:rsid w:val="00BD65C9"/>
    <w:rsid w:val="00C4650D"/>
    <w:rsid w:val="00C604E9"/>
    <w:rsid w:val="00C820B1"/>
    <w:rsid w:val="00C93067"/>
    <w:rsid w:val="00CB2CE7"/>
    <w:rsid w:val="00CC4795"/>
    <w:rsid w:val="00CE77A2"/>
    <w:rsid w:val="00D259B7"/>
    <w:rsid w:val="00D83F92"/>
    <w:rsid w:val="00D9097B"/>
    <w:rsid w:val="00D91D76"/>
    <w:rsid w:val="00D96D61"/>
    <w:rsid w:val="00DE49BF"/>
    <w:rsid w:val="00E02A68"/>
    <w:rsid w:val="00E7512A"/>
    <w:rsid w:val="00E82EBC"/>
    <w:rsid w:val="00EA2954"/>
    <w:rsid w:val="00EC03AE"/>
    <w:rsid w:val="00ED6653"/>
    <w:rsid w:val="00EF4D5F"/>
    <w:rsid w:val="00F23CC3"/>
    <w:rsid w:val="00F609A2"/>
    <w:rsid w:val="00F62A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4317"/>
  <w15:docId w15:val="{032E8AAB-4891-493D-8F3B-A65D74C5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4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728A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B34115"/>
    <w:rPr>
      <w:color w:val="0000FF" w:themeColor="hyperlink"/>
      <w:u w:val="single"/>
    </w:rPr>
  </w:style>
  <w:style w:type="paragraph" w:styleId="Prrafodelista">
    <w:name w:val="List Paragraph"/>
    <w:basedOn w:val="Normal"/>
    <w:uiPriority w:val="34"/>
    <w:qFormat/>
    <w:rsid w:val="00325F5D"/>
    <w:pPr>
      <w:ind w:left="720"/>
      <w:contextualSpacing/>
    </w:pPr>
  </w:style>
  <w:style w:type="character" w:styleId="Mencinsinresolver">
    <w:name w:val="Unresolved Mention"/>
    <w:basedOn w:val="Fuentedeprrafopredeter"/>
    <w:uiPriority w:val="99"/>
    <w:semiHidden/>
    <w:unhideWhenUsed/>
    <w:rsid w:val="00616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53007">
      <w:bodyDiv w:val="1"/>
      <w:marLeft w:val="0"/>
      <w:marRight w:val="0"/>
      <w:marTop w:val="0"/>
      <w:marBottom w:val="0"/>
      <w:divBdr>
        <w:top w:val="none" w:sz="0" w:space="0" w:color="auto"/>
        <w:left w:val="none" w:sz="0" w:space="0" w:color="auto"/>
        <w:bottom w:val="none" w:sz="0" w:space="0" w:color="auto"/>
        <w:right w:val="none" w:sz="0" w:space="0" w:color="auto"/>
      </w:divBdr>
    </w:div>
    <w:div w:id="12429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D15B7-51E4-42DE-B3D7-F54C8FC7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1484</Words>
  <Characters>8167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gkuhn</dc:creator>
  <cp:lastModifiedBy>erica perez</cp:lastModifiedBy>
  <cp:revision>2</cp:revision>
  <dcterms:created xsi:type="dcterms:W3CDTF">2023-08-23T02:25:00Z</dcterms:created>
  <dcterms:modified xsi:type="dcterms:W3CDTF">2023-08-23T02:25:00Z</dcterms:modified>
</cp:coreProperties>
</file>